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9982" w14:textId="5FD01310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203CC401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5638218B" w14:textId="77777777" w:rsidR="007F47F2" w:rsidRPr="00BF78B8" w:rsidRDefault="007F47F2" w:rsidP="005246A9">
      <w:pPr>
        <w:jc w:val="center"/>
      </w:pPr>
    </w:p>
    <w:p w14:paraId="426BC0C4" w14:textId="77777777" w:rsidR="007F47F2" w:rsidRPr="000A4E3B" w:rsidRDefault="007F47F2" w:rsidP="005246A9">
      <w:pPr>
        <w:jc w:val="center"/>
        <w:rPr>
          <w:sz w:val="28"/>
          <w:szCs w:val="28"/>
        </w:rPr>
      </w:pPr>
      <w:r w:rsidRPr="000A4E3B">
        <w:rPr>
          <w:sz w:val="28"/>
          <w:szCs w:val="28"/>
        </w:rPr>
        <w:t>РЕШЕНИЕ</w:t>
      </w:r>
    </w:p>
    <w:p w14:paraId="3ACEEEED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2FB0DE21" w14:textId="77777777" w:rsidR="007F47F2" w:rsidRPr="00BF78B8" w:rsidRDefault="007F47F2" w:rsidP="005246A9">
      <w:pPr>
        <w:jc w:val="center"/>
      </w:pPr>
    </w:p>
    <w:p w14:paraId="2F465E46" w14:textId="77777777" w:rsidR="007F47F2" w:rsidRPr="00BF78B8" w:rsidRDefault="007F47F2" w:rsidP="005246A9">
      <w:pPr>
        <w:jc w:val="center"/>
      </w:pPr>
    </w:p>
    <w:p w14:paraId="399B6571" w14:textId="68C3356B" w:rsidR="007F47F2" w:rsidRPr="00BF78B8" w:rsidRDefault="007F47F2" w:rsidP="005246A9">
      <w:pPr>
        <w:ind w:firstLine="284"/>
        <w:jc w:val="both"/>
      </w:pPr>
      <w:r w:rsidRPr="00BF78B8">
        <w:t xml:space="preserve">от </w:t>
      </w:r>
      <w:r w:rsidR="0010368E" w:rsidRPr="00BF78B8">
        <w:t>«</w:t>
      </w:r>
      <w:r w:rsidR="003F66EF">
        <w:t>25</w:t>
      </w:r>
      <w:r w:rsidR="0010368E" w:rsidRPr="00BF78B8">
        <w:t xml:space="preserve">» </w:t>
      </w:r>
      <w:r w:rsidR="001035C2">
        <w:t>ию</w:t>
      </w:r>
      <w:r w:rsidR="00464EB1">
        <w:t>ля</w:t>
      </w:r>
      <w:r w:rsidR="0010368E" w:rsidRPr="00BF78B8">
        <w:t xml:space="preserve"> </w:t>
      </w:r>
      <w:r w:rsidR="00460358" w:rsidRPr="00BF78B8">
        <w:t>20</w:t>
      </w:r>
      <w:r w:rsidR="00444329">
        <w:t>2</w:t>
      </w:r>
      <w:r w:rsidR="001E455A">
        <w:t>2</w:t>
      </w:r>
      <w:r w:rsidRPr="00BF78B8">
        <w:t xml:space="preserve"> г. №</w:t>
      </w:r>
      <w:r w:rsidR="003F66EF">
        <w:t>7/2</w:t>
      </w:r>
    </w:p>
    <w:p w14:paraId="198F7ADE" w14:textId="77777777" w:rsidR="007F47F2" w:rsidRPr="00BF78B8" w:rsidRDefault="007F47F2" w:rsidP="005246A9">
      <w:pPr>
        <w:ind w:firstLine="284"/>
        <w:jc w:val="both"/>
      </w:pPr>
      <w:r w:rsidRPr="00BF78B8">
        <w:t>п. Навля</w:t>
      </w:r>
    </w:p>
    <w:p w14:paraId="30694FD2" w14:textId="77777777" w:rsidR="007F47F2" w:rsidRPr="00BF78B8" w:rsidRDefault="007F47F2" w:rsidP="005246A9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869"/>
      </w:tblGrid>
      <w:tr w:rsidR="00F6430A" w:rsidRPr="00BF78B8" w14:paraId="4EDCA2DE" w14:textId="77777777" w:rsidTr="00434CD9">
        <w:tc>
          <w:tcPr>
            <w:tcW w:w="4985" w:type="dxa"/>
          </w:tcPr>
          <w:p w14:paraId="53F6FEE9" w14:textId="77777777" w:rsidR="000A4E3B" w:rsidRDefault="00F6430A" w:rsidP="0010368E">
            <w:pPr>
              <w:spacing w:line="276" w:lineRule="auto"/>
            </w:pPr>
            <w:r w:rsidRPr="00BF78B8">
              <w:t>Об исполнении бюджета Навлинско</w:t>
            </w:r>
            <w:r w:rsidR="00434CD9">
              <w:t>го</w:t>
            </w:r>
            <w:r w:rsidRPr="00BF78B8">
              <w:t xml:space="preserve"> городско</w:t>
            </w:r>
            <w:r w:rsidR="00434CD9">
              <w:t>го</w:t>
            </w:r>
            <w:r w:rsidRPr="00BF78B8">
              <w:t xml:space="preserve"> поселени</w:t>
            </w:r>
            <w:r w:rsidR="00434CD9">
              <w:t>я Навлинского муниципального района Брянской области</w:t>
            </w:r>
            <w:r w:rsidRPr="00BF78B8">
              <w:t xml:space="preserve"> </w:t>
            </w:r>
          </w:p>
          <w:p w14:paraId="3F00CFB1" w14:textId="3190B52F" w:rsidR="00F6430A" w:rsidRPr="00BF78B8" w:rsidRDefault="00F6430A" w:rsidP="0010368E">
            <w:pPr>
              <w:spacing w:line="276" w:lineRule="auto"/>
            </w:pPr>
            <w:r w:rsidRPr="00BF78B8">
              <w:t xml:space="preserve">за </w:t>
            </w:r>
            <w:r w:rsidR="000A0225">
              <w:t>1</w:t>
            </w:r>
            <w:r w:rsidRPr="00BF78B8">
              <w:t xml:space="preserve"> </w:t>
            </w:r>
            <w:r w:rsidR="001035C2">
              <w:t>полугодие</w:t>
            </w:r>
            <w:r w:rsidRPr="00BF78B8">
              <w:t xml:space="preserve"> 20</w:t>
            </w:r>
            <w:r w:rsidR="00444329">
              <w:t>2</w:t>
            </w:r>
            <w:r w:rsidR="001E455A">
              <w:t>2</w:t>
            </w:r>
            <w:r w:rsidRPr="00BF78B8">
              <w:t xml:space="preserve"> года</w:t>
            </w:r>
          </w:p>
        </w:tc>
        <w:tc>
          <w:tcPr>
            <w:tcW w:w="4869" w:type="dxa"/>
          </w:tcPr>
          <w:p w14:paraId="1D2C7DA3" w14:textId="77777777" w:rsidR="00F6430A" w:rsidRPr="00BF78B8" w:rsidRDefault="00F6430A" w:rsidP="005246A9">
            <w:pPr>
              <w:jc w:val="both"/>
            </w:pPr>
          </w:p>
        </w:tc>
      </w:tr>
    </w:tbl>
    <w:p w14:paraId="0160F186" w14:textId="77777777" w:rsidR="00F6430A" w:rsidRPr="00BF78B8" w:rsidRDefault="00F6430A" w:rsidP="005246A9">
      <w:pPr>
        <w:ind w:firstLine="540"/>
        <w:jc w:val="both"/>
      </w:pPr>
    </w:p>
    <w:p w14:paraId="7F1E511B" w14:textId="77777777" w:rsidR="0010368E" w:rsidRPr="00BF78B8" w:rsidRDefault="0010368E" w:rsidP="00F724A3">
      <w:pPr>
        <w:spacing w:line="276" w:lineRule="auto"/>
        <w:ind w:firstLine="567"/>
        <w:jc w:val="both"/>
      </w:pPr>
    </w:p>
    <w:p w14:paraId="491A7830" w14:textId="1FD72E16" w:rsidR="007F47F2" w:rsidRPr="00BF78B8" w:rsidRDefault="007F47F2" w:rsidP="00F724A3">
      <w:pPr>
        <w:spacing w:line="276" w:lineRule="auto"/>
        <w:ind w:firstLine="567"/>
        <w:jc w:val="both"/>
      </w:pPr>
      <w:r w:rsidRPr="00BF78B8">
        <w:t xml:space="preserve">Заслушав и обсудив доклад </w:t>
      </w:r>
      <w:bookmarkStart w:id="0" w:name="_Hlk108101660"/>
      <w:r w:rsidR="00F20E6B">
        <w:t>заместителя главы администрации района,</w:t>
      </w:r>
      <w:r w:rsidRPr="00BF78B8">
        <w:t xml:space="preserve"> </w:t>
      </w:r>
      <w:r w:rsidR="00812F33">
        <w:t>начальника финансового управления</w:t>
      </w:r>
      <w:r w:rsidR="000A0225">
        <w:t xml:space="preserve"> </w:t>
      </w:r>
      <w:r w:rsidR="005D719D">
        <w:t xml:space="preserve">администрации района </w:t>
      </w:r>
      <w:r w:rsidR="00F20E6B">
        <w:t>Сонных Т.А</w:t>
      </w:r>
      <w:bookmarkEnd w:id="0"/>
      <w:r w:rsidR="00F20E6B">
        <w:t>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36E908AE" w14:textId="77777777" w:rsidR="00837343" w:rsidRDefault="00837343" w:rsidP="00837343">
      <w:pPr>
        <w:spacing w:line="276" w:lineRule="auto"/>
        <w:ind w:firstLine="540"/>
        <w:jc w:val="both"/>
      </w:pPr>
      <w:r>
        <w:t>Исполнение бюджета Навлинского городского поселения в отчетном периоде осуществлялось в рамках действующего бюджетного законодательства и в соответствии с Решением Навлинского поселкового Совета народных депутатов «О бюджете Навлинского городского поселения Навлинского муниципального района Брянской области на 2022 год и на плановый период 2023 и 2024 годов».</w:t>
      </w:r>
    </w:p>
    <w:p w14:paraId="24FEC9BD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Бюджет Навлинского городского поселения за 1 полугодие 2022 года исполнен по доходам в сумме 9 748 тыс. руб., что составляет 7,6% годового плана. </w:t>
      </w:r>
    </w:p>
    <w:p w14:paraId="5D8E18EC" w14:textId="77777777" w:rsidR="00837343" w:rsidRDefault="00837343" w:rsidP="00837343">
      <w:pPr>
        <w:spacing w:line="276" w:lineRule="auto"/>
        <w:ind w:firstLine="540"/>
        <w:jc w:val="both"/>
      </w:pPr>
      <w:r>
        <w:t>Доходы бюджета за отчетный период на 99,2% обеспечены за счет налоговых и неналоговых платежей.</w:t>
      </w:r>
    </w:p>
    <w:p w14:paraId="2F5EF798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Объем собственных доходов уменьшен к аналогичному периоду прошлого года (далее – АППГ) на 920 тыс. руб. и составил 9 673 тыс. руб. Годовой план исполнен на 25,8%. </w:t>
      </w:r>
    </w:p>
    <w:p w14:paraId="694D3E3C" w14:textId="77777777" w:rsidR="00837343" w:rsidRDefault="00837343" w:rsidP="00837343">
      <w:pPr>
        <w:spacing w:line="276" w:lineRule="auto"/>
        <w:ind w:firstLine="540"/>
        <w:jc w:val="both"/>
      </w:pPr>
      <w:r>
        <w:t>В структуре налоговых и неналоговых доходов налоговые платежи составили 91,7%, всего поступило 8 867 тыс. руб., неналоговые платежи – 8,3% и 806 тыс. руб. соответственно.</w:t>
      </w:r>
    </w:p>
    <w:p w14:paraId="53597098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Основными налогами, формирующими доходы бюджета поселения, являются налог на доходы физических лиц, земельный налог, акцизы. </w:t>
      </w:r>
    </w:p>
    <w:p w14:paraId="2941472B" w14:textId="77777777" w:rsidR="00837343" w:rsidRDefault="00837343" w:rsidP="00837343">
      <w:pPr>
        <w:spacing w:line="276" w:lineRule="auto"/>
        <w:ind w:firstLine="540"/>
        <w:jc w:val="both"/>
      </w:pPr>
      <w:r>
        <w:t>В отчетном периоде доходы от поступления этих налогов составили 8 959 тыс. руб., или 92,6% собственных доходов бюджета поселения.</w:t>
      </w:r>
    </w:p>
    <w:p w14:paraId="48540F31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Наибольший удельный вес в структуре собственных доходов по-прежнему остается за налогом на доходы физических лиц – 57,4%. Объем поступлений НДФЛ к АППГ увеличен на 193 тыс. руб. и составил 5 553 тыс. руб. Годовой план исполнен на 39,3%. </w:t>
      </w:r>
    </w:p>
    <w:p w14:paraId="5BD7AB15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Земельный налог в структуре собственных доходов составил 15,7%, поступления к АППГ уменьшены на 1 169 тыс. руб. и составили 1 516 тыс. руб. Годовой план исполнен на 14,2%. </w:t>
      </w:r>
    </w:p>
    <w:p w14:paraId="7BCB2E20" w14:textId="77777777" w:rsidR="00837343" w:rsidRDefault="00837343" w:rsidP="00837343">
      <w:pPr>
        <w:spacing w:line="276" w:lineRule="auto"/>
        <w:ind w:firstLine="540"/>
        <w:jc w:val="both"/>
      </w:pPr>
      <w:r>
        <w:t>Акцизы по подакцизным товарам, производимые на территории Российской Федерации, в структуре налоговых и неналоговых доходов составили 19,5%, всего поступило 1 890 тыс. руб., что на 556 тыс. руб. больше аналогичного уровня прошлого года. Годовой план исполнен на 54,2%.</w:t>
      </w:r>
    </w:p>
    <w:p w14:paraId="3CB5783D" w14:textId="77777777" w:rsidR="00837343" w:rsidRDefault="00837343" w:rsidP="00837343">
      <w:pPr>
        <w:spacing w:line="276" w:lineRule="auto"/>
        <w:ind w:firstLine="540"/>
        <w:jc w:val="both"/>
      </w:pPr>
      <w:r>
        <w:t>В отчетном периоде поступление налога на имущество физических лиц составило -494 тыс. руб., что на 1 041 тыс. руб. ниже уровня прошлого года. Удельный вес налога в структуре собственных доходов – -5,1%, годовой план исполнен на -6,9%.</w:t>
      </w:r>
    </w:p>
    <w:p w14:paraId="18D28452" w14:textId="77777777" w:rsidR="00837343" w:rsidRDefault="00837343" w:rsidP="00837343">
      <w:pPr>
        <w:spacing w:line="276" w:lineRule="auto"/>
        <w:ind w:firstLine="540"/>
        <w:jc w:val="both"/>
      </w:pPr>
      <w:r>
        <w:lastRenderedPageBreak/>
        <w:t>Удельный вес сельскохозяйственного налога в структуре собственных доходов составил 4,2%, всего поступило 402 тыс. руб. Поступления ЕСХН к уровню предыдущего года увеличены на 142 тыс. руб., годовой план – 31,6%. Увеличение поступлений произошло в связи с увеличением налоговой базы 2021г по ИП Сережкин, ООО «</w:t>
      </w:r>
      <w:proofErr w:type="spellStart"/>
      <w:r>
        <w:t>Экопродукт</w:t>
      </w:r>
      <w:proofErr w:type="spellEnd"/>
      <w:r>
        <w:t xml:space="preserve">». </w:t>
      </w:r>
    </w:p>
    <w:p w14:paraId="5F2AEE31" w14:textId="77777777" w:rsidR="00837343" w:rsidRDefault="00837343" w:rsidP="00837343">
      <w:pPr>
        <w:spacing w:line="276" w:lineRule="auto"/>
        <w:ind w:firstLine="540"/>
        <w:jc w:val="both"/>
      </w:pPr>
      <w:r>
        <w:t>Структура неналоговых доходов сформирована в основном за счет доходов от использования муниципального имущества, штрафных санкций.</w:t>
      </w:r>
    </w:p>
    <w:p w14:paraId="0D00B4AE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Доходы от арендной платы за земельные участки в связи с выкупом земельных участков уменьшены к уровню АППГ на 89 тыс. руб. и составили 192 тыс. руб. Удельный вес в структуре собственных доходов – 2,0%, годовой план исполнен на 40,3%. </w:t>
      </w:r>
    </w:p>
    <w:p w14:paraId="6F2039BF" w14:textId="77777777" w:rsidR="00837343" w:rsidRDefault="00837343" w:rsidP="00837343">
      <w:pPr>
        <w:spacing w:line="276" w:lineRule="auto"/>
        <w:ind w:firstLine="540"/>
        <w:jc w:val="both"/>
      </w:pPr>
      <w:r>
        <w:t>Доходы от продажи земельных участков увеличены к уровню АППГ на 297 тыс. руб. и составили 374 тыс. руб. Удельный вес в структуре собственных доходов – 3,9%. Годовой план выше 100%.</w:t>
      </w:r>
    </w:p>
    <w:p w14:paraId="4254399D" w14:textId="77777777" w:rsidR="00837343" w:rsidRDefault="00837343" w:rsidP="00837343">
      <w:pPr>
        <w:spacing w:line="276" w:lineRule="auto"/>
        <w:ind w:firstLine="540"/>
        <w:jc w:val="both"/>
      </w:pPr>
      <w:r>
        <w:t>Штрафные санкции поступили в бюджет поселения в размере 229 тыс. руб., в основном, за счет несвоевременного исполнения подрядчиками заключенных муниципальных контрактов (пеня по муниципальному контракту за выполненные работы по объекту: «Выполнение работ по капитальному ремонту по ул. Ленина в п. Навля»). К уровню АППГ доходы от штрафов увеличены на 205 тыс. руб. Удельный вес в структуре собственных доходов – 2,4%. Годовой план выше 100%.</w:t>
      </w:r>
    </w:p>
    <w:p w14:paraId="34332529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Прочие неналоговые доходы за отчетный период в бюджет не поступали. </w:t>
      </w:r>
    </w:p>
    <w:p w14:paraId="292569AB" w14:textId="77777777" w:rsidR="00837343" w:rsidRDefault="00837343" w:rsidP="00837343">
      <w:pPr>
        <w:spacing w:line="276" w:lineRule="auto"/>
        <w:ind w:firstLine="540"/>
        <w:jc w:val="both"/>
      </w:pPr>
      <w:r>
        <w:t>Безвозмездные поступления увеличены к АППГ на 71 тыс. руб. и составили 76 тыс., в том числе: субвенция – 0,2 тыс. руб. (годовой план 100%), прочие безвозмездные поступления (доля населения по ГП «Формирование современной городской среды») – 75,8 тыс. руб. Годовой план выше 100%.</w:t>
      </w:r>
    </w:p>
    <w:p w14:paraId="1B537B72" w14:textId="77777777" w:rsidR="00837343" w:rsidRDefault="00837343" w:rsidP="00837343">
      <w:pPr>
        <w:spacing w:line="276" w:lineRule="auto"/>
        <w:ind w:firstLine="540"/>
        <w:jc w:val="both"/>
      </w:pPr>
      <w:r>
        <w:t>Расходная часть бюджета Навлинского городского поселения за 1 полугодие 2022 года исполнена в объеме 16 670 тыс. руб., или 18,7% от уточненного годового плана. К уровню АППГ расходы повышены на 5 555 тыс. руб.</w:t>
      </w:r>
    </w:p>
    <w:p w14:paraId="6CB39256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Первоочередными задачами в отчетном периоде оставались вопросы по содержанию автомобильных дорог, благоустройству территорий, обеспечению уличного освещения, бесперебойной работы бани. </w:t>
      </w:r>
    </w:p>
    <w:p w14:paraId="4001E9D9" w14:textId="77777777" w:rsidR="00837343" w:rsidRDefault="00837343" w:rsidP="00837343">
      <w:pPr>
        <w:spacing w:line="276" w:lineRule="auto"/>
        <w:ind w:firstLine="540"/>
        <w:jc w:val="both"/>
      </w:pPr>
      <w:r>
        <w:t>На данные виды работ направлены средства в объеме 13 617 тыс. руб., или 81,9% всех расходов бюджета поселения.</w:t>
      </w:r>
    </w:p>
    <w:p w14:paraId="2475065F" w14:textId="77777777" w:rsidR="00837343" w:rsidRDefault="00837343" w:rsidP="00837343">
      <w:pPr>
        <w:spacing w:line="276" w:lineRule="auto"/>
        <w:ind w:firstLine="540"/>
        <w:jc w:val="both"/>
      </w:pPr>
      <w:r>
        <w:t>Исполнение расходов по отраслевой структуре составило:</w:t>
      </w:r>
    </w:p>
    <w:p w14:paraId="38822A80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 «Общегосударственные вопросы» – 131 тыс. руб., что на 46 тыс. руб. выше АППГ. Удельный вес в общей сумме расходов – 0,8%. Годовой план исполнен на 20,5%.</w:t>
      </w:r>
    </w:p>
    <w:p w14:paraId="74A54EFB" w14:textId="77777777" w:rsidR="00837343" w:rsidRDefault="00837343" w:rsidP="00837343">
      <w:pPr>
        <w:spacing w:line="276" w:lineRule="auto"/>
        <w:ind w:firstLine="540"/>
        <w:jc w:val="both"/>
      </w:pPr>
      <w:r>
        <w:t>По данному разделу средства бюджета направлены на информационное обеспечение – 29 тыс. руб. (58% плана), содержание имущества казны (оплата коммунальных услуг МКД, находящиеся в муниципальной собственности поселения) – 22 тыс. руб. (43% плана), оплата штрафа по представлению за выброс сточных вод – 80 тыс. руб. (100% плана), составление протоколов правонарушений (приобретение канцелярских товаров) – 0,2 тыс. руб. (100% плана).</w:t>
      </w:r>
    </w:p>
    <w:p w14:paraId="04D3F543" w14:textId="77777777" w:rsidR="00837343" w:rsidRDefault="00837343" w:rsidP="00837343">
      <w:pPr>
        <w:spacing w:line="276" w:lineRule="auto"/>
        <w:ind w:firstLine="540"/>
        <w:jc w:val="both"/>
      </w:pPr>
      <w:r>
        <w:tab/>
        <w:t>«Национальная экономика» – 4 862 тыс. руб., что на 1 045 тыс. руб. больше АППГ. Удельный вес в общей сумме расходов – 29,2%. Годовой план исполнен на 13,6%.</w:t>
      </w:r>
    </w:p>
    <w:p w14:paraId="5274CB67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По данному разделу отражены средства дорожного фонда, направленные на зимнее содержание автомобильных дорог, в том числе на очистку и обработку дорог – 2 179,0 тыс. руб., тротуаров и пешеходных зон – 473,0 тыс. руб., на оплату штрафа по административному правонарушению – 50 тыс. руб., на очистку дорог от песка – 125,0 тыс. руб., на ямочный ремонт – 906,0 тыс. руб., проверка сметной стоимости по капитальному ремонту автодорог и подготовка тех. плана – 131,0 тыс. руб., внесение изменений в </w:t>
      </w:r>
      <w:r>
        <w:lastRenderedPageBreak/>
        <w:t>генеральный план – 160,0 тыс. руб., приобретение щебня для подсыпки дорог – 838,0 тыс. руб.;</w:t>
      </w:r>
    </w:p>
    <w:p w14:paraId="65AC13DE" w14:textId="77777777" w:rsidR="00837343" w:rsidRDefault="00837343" w:rsidP="00837343">
      <w:pPr>
        <w:spacing w:line="276" w:lineRule="auto"/>
        <w:ind w:firstLine="540"/>
        <w:jc w:val="both"/>
      </w:pPr>
      <w:r>
        <w:tab/>
        <w:t xml:space="preserve">«Жилищно-коммунальное хозяйство» – 8 914 тыс. руб., что на 4 433 тыс. руб. больше АППГ. Удельный вес в общей сумме расходов – 53,5%. </w:t>
      </w:r>
    </w:p>
    <w:p w14:paraId="1583299B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По данному разделу средства бюджета поселения направлены на:       </w:t>
      </w:r>
    </w:p>
    <w:p w14:paraId="63DFDFBF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­ жилищное хозяйство – 54,7 тыс. руб., ежемесячные взносы на капитальный ремонт муниципального жилья в МКД в размере по 6,05 руб./м2; </w:t>
      </w:r>
    </w:p>
    <w:p w14:paraId="1E978452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­ коммунальное хозяйство – 4 746,9 тыс. руб., в том числе субсидирование выпадающих доходов бани – 484,8 тыс. руб., компенсация некомпенсируемых финансовых убытков по газовой котельной по ул. Мичурина – 794,1 тыс. руб., оплата по исполнительному листу арбитражного суда за потери в муниципальных тепловых сетях – 361,1 тыс. руб., строительство очистных сооружений в п. Навля – 3 106,9 тыс. руб.; </w:t>
      </w:r>
    </w:p>
    <w:p w14:paraId="35BC00C7" w14:textId="77777777" w:rsidR="00837343" w:rsidRDefault="00837343" w:rsidP="00837343">
      <w:pPr>
        <w:spacing w:line="276" w:lineRule="auto"/>
        <w:ind w:firstLine="540"/>
        <w:jc w:val="both"/>
      </w:pPr>
      <w:r>
        <w:t>­ благоустройство – 4 112,4 тыс. руб., в том числе на уличное освещение – 2 849,2 тыс. руб., на озеленение (спиливание деревьев) – 279 тыс. руб., на организацию и содержание мест захоронения – 802 тыс. руб. (в т.ч.: сбор, вывозу ТКО – 799,5 тыс. руб., техобслуживание мемориала «Вечный огонь» – 2,5 тыс. руб.), на прочее благоустройство – 182,2 тыс. руб. (в т.ч. санитарная уборка территорий – 86 тыс. руб., выполнение инженерно-гидрометеорологических изысканий – 47 тыс. руб., госэкспертиза по общественным территориям – 21,0 тыс. руб., приобретение расходных материалов – 28 тыс. руб.);</w:t>
      </w:r>
    </w:p>
    <w:p w14:paraId="0876949C" w14:textId="77777777" w:rsidR="00837343" w:rsidRDefault="00837343" w:rsidP="00837343">
      <w:pPr>
        <w:spacing w:line="276" w:lineRule="auto"/>
        <w:ind w:firstLine="540"/>
        <w:jc w:val="both"/>
      </w:pPr>
      <w:r>
        <w:t>«Культура, кинематография» – 2 520 тыс. рублей, что на 242 тыс. руб. больше АППГ. Удельный вес в общей сумме расходов – 15,1%.</w:t>
      </w:r>
    </w:p>
    <w:p w14:paraId="482FCEA2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 Средства направлены на организацию библиотечного обслуживания населения в размере 1 511 тыс. руб., что на 275 тыс. руб. выше уровня АППГ; на создание условий и обеспечение жителей поселения услугами организаций культуры – 1 010 тыс. руб., что на 486 тыс. руб. ниже уровня АППГ.</w:t>
      </w:r>
    </w:p>
    <w:p w14:paraId="6D16EBE6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«Социальная политика» – 220 тыс. руб., на 46 тыс. руб. больше АППГ. Удельный вес в общей сумме расходов – 1,3%. </w:t>
      </w:r>
    </w:p>
    <w:p w14:paraId="2364C899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Средства направлены на доплату муниципальной пенсии (4 человека) – 181 тыс. руб., транспортные услуги – 39 тыс. руб. </w:t>
      </w:r>
    </w:p>
    <w:p w14:paraId="6C705ABD" w14:textId="77777777" w:rsidR="00837343" w:rsidRDefault="00837343" w:rsidP="00837343">
      <w:pPr>
        <w:spacing w:line="276" w:lineRule="auto"/>
        <w:ind w:firstLine="540"/>
        <w:jc w:val="both"/>
      </w:pPr>
      <w:r>
        <w:t>«Физическая культура и спорт» – 22 тыс. рублей, что на 17 тыс. руб. ниже АППГ. Удельный вес в общей сумме расходов – 0,1%. Средства направлены на содержание стадиона (</w:t>
      </w:r>
      <w:proofErr w:type="spellStart"/>
      <w:r>
        <w:t>окос</w:t>
      </w:r>
      <w:proofErr w:type="spellEnd"/>
      <w:r>
        <w:t xml:space="preserve"> травы) – 17 тыс. руб., проектно-сметная документация – 5 тыс. руб.</w:t>
      </w:r>
    </w:p>
    <w:p w14:paraId="2D55F79A" w14:textId="77777777" w:rsidR="00837343" w:rsidRDefault="00837343" w:rsidP="00837343">
      <w:pPr>
        <w:spacing w:line="276" w:lineRule="auto"/>
        <w:ind w:firstLine="540"/>
        <w:jc w:val="both"/>
      </w:pPr>
    </w:p>
    <w:p w14:paraId="56089AFF" w14:textId="77777777" w:rsidR="00837343" w:rsidRDefault="00837343" w:rsidP="00837343">
      <w:pPr>
        <w:spacing w:line="276" w:lineRule="auto"/>
        <w:ind w:firstLine="540"/>
        <w:jc w:val="both"/>
      </w:pPr>
      <w:r>
        <w:t>В текущем году бюджет поселения сформирован и утвержден в «программном» формате, 94,0% бюджетных ассигнований запланировано в рамках 2-х муниципальных программ:</w:t>
      </w:r>
    </w:p>
    <w:p w14:paraId="232F107D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1). Муниципальная программа «Реализация полномочий Навлинского городского поселения». При годовом плане в объеме 83 796 тыс. руб., мероприятия в рамках реализации программы в отчетном периоде исполнены в сумме 16 511 тыс. руб. или 99% всех расходов бюджета. </w:t>
      </w:r>
    </w:p>
    <w:p w14:paraId="5F985BCE" w14:textId="77777777" w:rsidR="00837343" w:rsidRDefault="00837343" w:rsidP="00837343">
      <w:pPr>
        <w:spacing w:line="276" w:lineRule="auto"/>
        <w:ind w:firstLine="540"/>
        <w:jc w:val="both"/>
      </w:pPr>
      <w:r>
        <w:t>Средства направлены на:</w:t>
      </w:r>
    </w:p>
    <w:p w14:paraId="7306EA37" w14:textId="77777777" w:rsidR="00837343" w:rsidRDefault="00837343" w:rsidP="00837343">
      <w:pPr>
        <w:spacing w:line="276" w:lineRule="auto"/>
        <w:ind w:firstLine="540"/>
        <w:jc w:val="both"/>
      </w:pPr>
      <w:r>
        <w:t>– обеспечение эффективного управления и распоряжения муниципальным</w:t>
      </w:r>
    </w:p>
    <w:p w14:paraId="6B542DE6" w14:textId="77777777" w:rsidR="00837343" w:rsidRDefault="00837343" w:rsidP="00837343">
      <w:pPr>
        <w:spacing w:line="276" w:lineRule="auto"/>
        <w:ind w:firstLine="540"/>
        <w:jc w:val="both"/>
      </w:pPr>
      <w:r>
        <w:t>имуществом городского поселения – 22 тыс. руб., удельный вес в расходах составил 0,1%, годовой план исполнен на 43,3%;</w:t>
      </w:r>
    </w:p>
    <w:p w14:paraId="1771BC61" w14:textId="77777777" w:rsidR="00837343" w:rsidRDefault="00837343" w:rsidP="00837343">
      <w:pPr>
        <w:spacing w:line="276" w:lineRule="auto"/>
        <w:ind w:firstLine="540"/>
        <w:jc w:val="both"/>
      </w:pPr>
      <w:r>
        <w:t>­ выполнение полномочий в сфере землепользования и землеустройства – 160 тыс. руб., удельный вес в расходах составил 1,0%, годовой план исполнен на 40%;</w:t>
      </w:r>
    </w:p>
    <w:p w14:paraId="01549767" w14:textId="77777777" w:rsidR="00837343" w:rsidRDefault="00837343" w:rsidP="00837343">
      <w:pPr>
        <w:spacing w:line="276" w:lineRule="auto"/>
        <w:ind w:firstLine="540"/>
        <w:jc w:val="both"/>
      </w:pPr>
      <w:r>
        <w:t xml:space="preserve">­ дорожное хозяйство – 4 652 тыс. руб., удельный вес в расходах бюджета составил 28,2%, годовой план исполнен на 28,2%; </w:t>
      </w:r>
    </w:p>
    <w:p w14:paraId="25410CCE" w14:textId="77777777" w:rsidR="00837343" w:rsidRDefault="00837343" w:rsidP="00837343">
      <w:pPr>
        <w:spacing w:line="276" w:lineRule="auto"/>
        <w:ind w:firstLine="540"/>
        <w:jc w:val="both"/>
      </w:pPr>
      <w:r>
        <w:lastRenderedPageBreak/>
        <w:t>­ жилищно-коммунальное хозяйство – 8 914 тыс. руб., удельный вес в расходах бюджета – 54%, годовой план исполнен на 25,5%;</w:t>
      </w:r>
    </w:p>
    <w:p w14:paraId="4B951221" w14:textId="77777777" w:rsidR="00837343" w:rsidRDefault="00837343" w:rsidP="00837343">
      <w:pPr>
        <w:spacing w:line="276" w:lineRule="auto"/>
        <w:ind w:firstLine="540"/>
        <w:jc w:val="both"/>
      </w:pPr>
      <w:r>
        <w:t>­ культуру – 2 520 тыс. руб., удельный вес в расходах бюджета – 15,3%, годовой план исполнен на 48,5%;</w:t>
      </w:r>
    </w:p>
    <w:p w14:paraId="30E5526B" w14:textId="77777777" w:rsidR="00837343" w:rsidRDefault="00837343" w:rsidP="00837343">
      <w:pPr>
        <w:spacing w:line="276" w:lineRule="auto"/>
        <w:ind w:firstLine="540"/>
        <w:jc w:val="both"/>
      </w:pPr>
      <w:r>
        <w:t>­ социальную политику – 220,0 тыс. руб., удельный вес в расходах бюджета – 1,3%, годовой план исполнен на 54,3%;</w:t>
      </w:r>
    </w:p>
    <w:p w14:paraId="6897AD88" w14:textId="77777777" w:rsidR="00837343" w:rsidRDefault="00837343" w:rsidP="00837343">
      <w:pPr>
        <w:spacing w:line="276" w:lineRule="auto"/>
        <w:ind w:firstLine="540"/>
        <w:jc w:val="both"/>
      </w:pPr>
      <w:r>
        <w:t>­ развитие физической культуры и спорта на территории Навлинского городского поселения - 22,0 тыс. руб., удельный вес в расходах бюджета – 0,1%, годовой план исполнен на 0,9%;</w:t>
      </w:r>
    </w:p>
    <w:p w14:paraId="1DE9325E" w14:textId="77777777" w:rsidR="00837343" w:rsidRDefault="00837343" w:rsidP="00837343">
      <w:pPr>
        <w:spacing w:line="276" w:lineRule="auto"/>
        <w:ind w:firstLine="540"/>
        <w:jc w:val="both"/>
      </w:pPr>
      <w:r>
        <w:t>2). Муниципальная программа «Формирование современной городской среды». При годовом плане в сумме 4 961 тыс. руб., мероприятия в рамках реализации муниципальной программы в отчетном периоде в первом полугодии не осуществлялись.</w:t>
      </w:r>
    </w:p>
    <w:p w14:paraId="163E1293" w14:textId="77777777" w:rsidR="00837343" w:rsidRDefault="00837343" w:rsidP="00837343">
      <w:pPr>
        <w:spacing w:line="276" w:lineRule="auto"/>
        <w:ind w:firstLine="540"/>
        <w:jc w:val="both"/>
      </w:pPr>
      <w:r>
        <w:t>Кредиторская задолженность по состоянию на 01.07.2022 года не допущена.</w:t>
      </w:r>
    </w:p>
    <w:p w14:paraId="4AB56178" w14:textId="77777777" w:rsidR="00837343" w:rsidRDefault="00837343" w:rsidP="00837343">
      <w:pPr>
        <w:spacing w:line="276" w:lineRule="auto"/>
        <w:ind w:firstLine="540"/>
        <w:jc w:val="both"/>
      </w:pPr>
      <w:r>
        <w:t>Муниципальный долг по состоянию на 01.07.2022 года отсутствует.</w:t>
      </w:r>
    </w:p>
    <w:p w14:paraId="770CBBCA" w14:textId="554ECA57" w:rsidR="00131EB0" w:rsidRPr="00837343" w:rsidRDefault="00131EB0" w:rsidP="00837343">
      <w:pPr>
        <w:spacing w:line="276" w:lineRule="auto"/>
        <w:ind w:firstLine="540"/>
        <w:jc w:val="both"/>
      </w:pPr>
      <w:r w:rsidRPr="00837343">
        <w:tab/>
      </w:r>
    </w:p>
    <w:p w14:paraId="6E7741A8" w14:textId="686B113B" w:rsidR="007F47F2" w:rsidRPr="00837343" w:rsidRDefault="007F47F2" w:rsidP="00131EB0">
      <w:pPr>
        <w:spacing w:line="276" w:lineRule="auto"/>
        <w:ind w:firstLine="540"/>
        <w:jc w:val="both"/>
      </w:pPr>
      <w:r w:rsidRPr="00837343">
        <w:t>Рассмотрев итоги исполнения бюджета Навлинск</w:t>
      </w:r>
      <w:r w:rsidR="00EE0712" w:rsidRPr="00837343">
        <w:t>о</w:t>
      </w:r>
      <w:r w:rsidR="00F15F1A" w:rsidRPr="00837343">
        <w:t>го</w:t>
      </w:r>
      <w:r w:rsidR="00EE0712" w:rsidRPr="00837343">
        <w:t xml:space="preserve"> городско</w:t>
      </w:r>
      <w:r w:rsidR="00F15F1A" w:rsidRPr="00837343">
        <w:t>го</w:t>
      </w:r>
      <w:r w:rsidR="00EE0712" w:rsidRPr="00837343">
        <w:t xml:space="preserve"> поселени</w:t>
      </w:r>
      <w:r w:rsidR="00F15F1A" w:rsidRPr="00837343">
        <w:t>я Навлинского муниципального района Брянской области</w:t>
      </w:r>
      <w:r w:rsidRPr="00837343">
        <w:t xml:space="preserve"> за 1 </w:t>
      </w:r>
      <w:r w:rsidR="00837343" w:rsidRPr="00837343">
        <w:t>полугодие</w:t>
      </w:r>
      <w:r w:rsidRPr="00837343">
        <w:t xml:space="preserve"> 20</w:t>
      </w:r>
      <w:r w:rsidR="00F15F1A" w:rsidRPr="00837343">
        <w:t>2</w:t>
      </w:r>
      <w:r w:rsidR="00DF0816" w:rsidRPr="00837343">
        <w:t>2</w:t>
      </w:r>
      <w:r w:rsidRPr="00837343">
        <w:t xml:space="preserve"> года</w:t>
      </w:r>
      <w:r w:rsidR="00175570" w:rsidRPr="00837343">
        <w:t>,</w:t>
      </w:r>
      <w:r w:rsidRPr="00837343">
        <w:t xml:space="preserve"> </w:t>
      </w:r>
      <w:r w:rsidR="005B3382" w:rsidRPr="00837343">
        <w:t>к</w:t>
      </w:r>
      <w:r w:rsidRPr="00837343">
        <w:t>оллегия при главе администрации района</w:t>
      </w:r>
    </w:p>
    <w:p w14:paraId="701EBA45" w14:textId="77777777" w:rsidR="007F47F2" w:rsidRPr="00837343" w:rsidRDefault="007F47F2" w:rsidP="00BF78B8">
      <w:pPr>
        <w:spacing w:before="240" w:line="276" w:lineRule="auto"/>
        <w:ind w:firstLine="567"/>
        <w:jc w:val="both"/>
      </w:pPr>
      <w:r w:rsidRPr="00837343">
        <w:t>РЕШИЛА:</w:t>
      </w:r>
    </w:p>
    <w:p w14:paraId="65DCED2A" w14:textId="1AF92EC6" w:rsidR="00180EF3" w:rsidRPr="00837343" w:rsidRDefault="00BF78B8" w:rsidP="00F73E91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837343">
        <w:t xml:space="preserve">Отчет </w:t>
      </w:r>
      <w:r w:rsidR="00837343" w:rsidRPr="00837343">
        <w:t>заместителя главы администрации района, начальника финансового управления администрации района Сонных Т.А</w:t>
      </w:r>
      <w:r w:rsidRPr="00837343">
        <w:t xml:space="preserve"> </w:t>
      </w:r>
      <w:r w:rsidR="00180EF3" w:rsidRPr="00837343">
        <w:t>«Об исполнении бюджета Навлинско</w:t>
      </w:r>
      <w:r w:rsidR="00812F33" w:rsidRPr="00837343">
        <w:t>го</w:t>
      </w:r>
      <w:r w:rsidR="00180EF3" w:rsidRPr="00837343">
        <w:t xml:space="preserve"> городско</w:t>
      </w:r>
      <w:r w:rsidR="00812F33" w:rsidRPr="00837343">
        <w:t>го</w:t>
      </w:r>
      <w:r w:rsidR="00180EF3" w:rsidRPr="00837343">
        <w:t xml:space="preserve"> поселени</w:t>
      </w:r>
      <w:r w:rsidR="00812F33" w:rsidRPr="00837343">
        <w:t>я Навлинского муниципального района Брянской области</w:t>
      </w:r>
      <w:r w:rsidR="00180EF3" w:rsidRPr="00837343">
        <w:t xml:space="preserve"> за </w:t>
      </w:r>
      <w:r w:rsidR="00D466CE" w:rsidRPr="00837343">
        <w:t xml:space="preserve">1 </w:t>
      </w:r>
      <w:r w:rsidR="00837343" w:rsidRPr="00837343">
        <w:t>полугодие</w:t>
      </w:r>
      <w:r w:rsidR="00180EF3" w:rsidRPr="00837343">
        <w:t xml:space="preserve"> 20</w:t>
      </w:r>
      <w:r w:rsidR="00812F33" w:rsidRPr="00837343">
        <w:t>2</w:t>
      </w:r>
      <w:r w:rsidR="00DF0816" w:rsidRPr="00837343">
        <w:t>2</w:t>
      </w:r>
      <w:r w:rsidR="00180EF3" w:rsidRPr="00837343">
        <w:t xml:space="preserve"> года» принять к сведению.</w:t>
      </w:r>
    </w:p>
    <w:p w14:paraId="67834716" w14:textId="1EE19654" w:rsidR="00180EF3" w:rsidRPr="0045609C" w:rsidRDefault="00180EF3" w:rsidP="000C080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45609C">
        <w:t xml:space="preserve">Администрации Навлинского района в срок до 15 </w:t>
      </w:r>
      <w:r w:rsidR="0045609C" w:rsidRPr="0045609C">
        <w:t>августа</w:t>
      </w:r>
      <w:r w:rsidRPr="0045609C">
        <w:t xml:space="preserve"> </w:t>
      </w:r>
      <w:r w:rsidR="001D2F8C" w:rsidRPr="0045609C">
        <w:t>20</w:t>
      </w:r>
      <w:r w:rsidR="00812F33" w:rsidRPr="0045609C">
        <w:t>2</w:t>
      </w:r>
      <w:r w:rsidR="00DF0816" w:rsidRPr="0045609C">
        <w:t>2</w:t>
      </w:r>
      <w:r w:rsidR="001D2F8C" w:rsidRPr="0045609C">
        <w:t xml:space="preserve"> года </w:t>
      </w:r>
      <w:r w:rsidRPr="0045609C">
        <w:t xml:space="preserve">направить отчет об исполнении бюджета за </w:t>
      </w:r>
      <w:r w:rsidR="00F432A6" w:rsidRPr="0045609C">
        <w:t>перв</w:t>
      </w:r>
      <w:r w:rsidR="00837343" w:rsidRPr="0045609C">
        <w:t>ое полугодие</w:t>
      </w:r>
      <w:r w:rsidRPr="0045609C">
        <w:t xml:space="preserve"> 20</w:t>
      </w:r>
      <w:r w:rsidR="00812F33" w:rsidRPr="0045609C">
        <w:t>2</w:t>
      </w:r>
      <w:r w:rsidR="00DF0816" w:rsidRPr="0045609C">
        <w:t>2</w:t>
      </w:r>
      <w:r w:rsidRPr="0045609C">
        <w:t xml:space="preserve"> года в </w:t>
      </w:r>
      <w:r w:rsidR="00812F33" w:rsidRPr="0045609C">
        <w:t xml:space="preserve">Навлинский </w:t>
      </w:r>
      <w:r w:rsidRPr="0045609C">
        <w:t>поселковый Совет народных депутатов.</w:t>
      </w:r>
    </w:p>
    <w:p w14:paraId="324B073C" w14:textId="54A99E31" w:rsidR="00180EF3" w:rsidRPr="00837343" w:rsidRDefault="00180EF3" w:rsidP="000C080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837343">
        <w:t>Администраторам доходов бюджета принять меры по обеспечению выполнения плановых назначений на 20</w:t>
      </w:r>
      <w:r w:rsidR="00812F33" w:rsidRPr="00837343">
        <w:t>2</w:t>
      </w:r>
      <w:r w:rsidR="00DF0816" w:rsidRPr="00837343">
        <w:t>2</w:t>
      </w:r>
      <w:r w:rsidRPr="00837343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03616663" w14:textId="6E556269" w:rsidR="004E26CF" w:rsidRPr="00837343" w:rsidRDefault="00CC3E19" w:rsidP="000C0808">
      <w:pPr>
        <w:numPr>
          <w:ilvl w:val="0"/>
          <w:numId w:val="3"/>
        </w:numPr>
        <w:tabs>
          <w:tab w:val="num" w:pos="284"/>
        </w:tabs>
        <w:spacing w:line="276" w:lineRule="auto"/>
        <w:ind w:left="0" w:firstLine="567"/>
        <w:jc w:val="both"/>
      </w:pPr>
      <w:r w:rsidRPr="00837343">
        <w:t>Структурным подразделениям администрации района</w:t>
      </w:r>
      <w:r w:rsidR="004E26CF" w:rsidRPr="00837343">
        <w:t>:</w:t>
      </w:r>
    </w:p>
    <w:p w14:paraId="4AA1926C" w14:textId="5CAD4915" w:rsidR="004E26CF" w:rsidRPr="00837343" w:rsidRDefault="00180EF3" w:rsidP="00CC3E19">
      <w:pPr>
        <w:pStyle w:val="a8"/>
        <w:numPr>
          <w:ilvl w:val="1"/>
          <w:numId w:val="3"/>
        </w:numPr>
        <w:spacing w:line="276" w:lineRule="auto"/>
        <w:ind w:left="0" w:firstLine="567"/>
        <w:jc w:val="both"/>
      </w:pPr>
      <w:r w:rsidRPr="00837343">
        <w:t>принять меры по повышению эффективности расходования бюджетных средств и использованию муниципального имущества</w:t>
      </w:r>
      <w:r w:rsidR="004E26CF" w:rsidRPr="00837343">
        <w:t>;</w:t>
      </w:r>
    </w:p>
    <w:p w14:paraId="337B0463" w14:textId="3AB8CD5C" w:rsidR="004E26CF" w:rsidRPr="00837343" w:rsidRDefault="00F73E91" w:rsidP="000C0808">
      <w:pPr>
        <w:spacing w:line="276" w:lineRule="auto"/>
        <w:ind w:firstLine="567"/>
        <w:jc w:val="both"/>
      </w:pPr>
      <w:r w:rsidRPr="00837343">
        <w:t>4</w:t>
      </w:r>
      <w:r w:rsidR="004E26CF" w:rsidRPr="00837343">
        <w:t xml:space="preserve">.2. обеспечить </w:t>
      </w:r>
      <w:r w:rsidR="00CC3E19" w:rsidRPr="00837343">
        <w:t xml:space="preserve">контроль </w:t>
      </w:r>
      <w:r w:rsidR="004E26CF" w:rsidRPr="00837343">
        <w:t>выполнени</w:t>
      </w:r>
      <w:r w:rsidR="00CC3E19" w:rsidRPr="00837343">
        <w:t>я</w:t>
      </w:r>
      <w:r w:rsidR="004E26CF" w:rsidRPr="00837343">
        <w:t xml:space="preserve"> условий получения целевых бюджетных средств, предусмотренных соглашениями, заключенными и (или) заключаемыми между администрацией района и Правительством Брянской области.</w:t>
      </w:r>
    </w:p>
    <w:p w14:paraId="11642AED" w14:textId="51DC16F3" w:rsidR="00180EF3" w:rsidRPr="00837343" w:rsidRDefault="00180EF3" w:rsidP="000C080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837343">
        <w:t>Контроль исполнения данного решения возложить на заместителя главы администрации района</w:t>
      </w:r>
      <w:r w:rsidR="00837343" w:rsidRPr="00837343">
        <w:t xml:space="preserve">, </w:t>
      </w:r>
      <w:r w:rsidR="00812F33" w:rsidRPr="00837343">
        <w:t xml:space="preserve">начальника финансового управления </w:t>
      </w:r>
      <w:r w:rsidRPr="00837343">
        <w:t>Т.А. Сонных.</w:t>
      </w:r>
    </w:p>
    <w:p w14:paraId="4ACF7B39" w14:textId="77777777" w:rsidR="00180EF3" w:rsidRPr="00BF78B8" w:rsidRDefault="00180EF3" w:rsidP="00F724A3">
      <w:pPr>
        <w:spacing w:line="276" w:lineRule="auto"/>
        <w:ind w:firstLine="284"/>
        <w:jc w:val="both"/>
      </w:pPr>
    </w:p>
    <w:p w14:paraId="14B70B3B" w14:textId="77777777" w:rsidR="004E26CF" w:rsidRPr="00BF78B8" w:rsidRDefault="004E26CF" w:rsidP="00F724A3">
      <w:pPr>
        <w:spacing w:line="276" w:lineRule="auto"/>
      </w:pPr>
    </w:p>
    <w:p w14:paraId="4D36A1E3" w14:textId="07AC7AB9" w:rsidR="007F47F2" w:rsidRPr="00BF78B8" w:rsidRDefault="00DF0816" w:rsidP="00DF0816">
      <w:pPr>
        <w:spacing w:line="276" w:lineRule="auto"/>
      </w:pPr>
      <w:r>
        <w:t xml:space="preserve">       </w:t>
      </w:r>
      <w:r w:rsidR="00FF3750" w:rsidRPr="00BF78B8">
        <w:t>Г</w:t>
      </w:r>
      <w:r w:rsidR="007F47F2" w:rsidRPr="00BF78B8">
        <w:t>лав</w:t>
      </w:r>
      <w:r w:rsidR="009E0EF1" w:rsidRPr="00BF78B8">
        <w:t>а</w:t>
      </w:r>
      <w:r w:rsidR="007F47F2" w:rsidRPr="00BF78B8">
        <w:t xml:space="preserve"> администрации Навлинского</w:t>
      </w:r>
    </w:p>
    <w:p w14:paraId="43ED57EF" w14:textId="72353C99" w:rsidR="007F47F2" w:rsidRPr="00BF78B8" w:rsidRDefault="00DF0816" w:rsidP="00DF0816">
      <w:pPr>
        <w:spacing w:line="276" w:lineRule="auto"/>
        <w:jc w:val="center"/>
      </w:pPr>
      <w:r>
        <w:t xml:space="preserve"> </w:t>
      </w:r>
      <w:r w:rsidR="00812F33">
        <w:t>р</w:t>
      </w:r>
      <w:r w:rsidR="007F47F2" w:rsidRPr="00BF78B8">
        <w:t>айона, председател</w:t>
      </w:r>
      <w:r w:rsidR="009E0EF1" w:rsidRPr="00BF78B8">
        <w:t>ь</w:t>
      </w:r>
      <w:r w:rsidR="007F47F2" w:rsidRPr="00BF78B8">
        <w:t xml:space="preserve"> коллегии</w:t>
      </w:r>
      <w:r w:rsidR="00180EF3" w:rsidRPr="00BF78B8">
        <w:t xml:space="preserve">               </w:t>
      </w:r>
      <w:r>
        <w:t xml:space="preserve">    </w:t>
      </w:r>
      <w:r w:rsidR="00180EF3" w:rsidRPr="00BF78B8">
        <w:t xml:space="preserve">                               </w:t>
      </w:r>
      <w:r w:rsidR="000A4E3B">
        <w:t xml:space="preserve">          </w:t>
      </w:r>
      <w:r w:rsidR="00180EF3" w:rsidRPr="00BF78B8">
        <w:t xml:space="preserve">          </w:t>
      </w:r>
      <w:r w:rsidR="00FF3750" w:rsidRPr="00BF78B8">
        <w:t>А.А. Прудник</w:t>
      </w:r>
    </w:p>
    <w:p w14:paraId="035336D5" w14:textId="77777777" w:rsidR="007F47F2" w:rsidRPr="00BF78B8" w:rsidRDefault="007F47F2" w:rsidP="005246A9"/>
    <w:p w14:paraId="2A6B360A" w14:textId="77777777" w:rsidR="004E26CF" w:rsidRPr="00BF78B8" w:rsidRDefault="004E26CF" w:rsidP="005246A9">
      <w:pPr>
        <w:jc w:val="both"/>
      </w:pPr>
    </w:p>
    <w:p w14:paraId="6E04DB00" w14:textId="77777777" w:rsidR="005F0914" w:rsidRPr="00BF78B8" w:rsidRDefault="005F0914" w:rsidP="005246A9">
      <w:pPr>
        <w:jc w:val="both"/>
      </w:pPr>
    </w:p>
    <w:sectPr w:rsidR="005F0914" w:rsidRPr="00BF78B8" w:rsidSect="00620F02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A20E3"/>
    <w:multiLevelType w:val="multilevel"/>
    <w:tmpl w:val="8B3A97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49047192">
    <w:abstractNumId w:val="3"/>
  </w:num>
  <w:num w:numId="2" w16cid:durableId="1824462602">
    <w:abstractNumId w:val="1"/>
  </w:num>
  <w:num w:numId="3" w16cid:durableId="2042590301">
    <w:abstractNumId w:val="6"/>
  </w:num>
  <w:num w:numId="4" w16cid:durableId="1594974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375832">
    <w:abstractNumId w:val="4"/>
  </w:num>
  <w:num w:numId="6" w16cid:durableId="95907368">
    <w:abstractNumId w:val="5"/>
  </w:num>
  <w:num w:numId="7" w16cid:durableId="877013290">
    <w:abstractNumId w:val="0"/>
  </w:num>
  <w:num w:numId="8" w16cid:durableId="1256670321">
    <w:abstractNumId w:val="8"/>
  </w:num>
  <w:num w:numId="9" w16cid:durableId="1816332546">
    <w:abstractNumId w:val="7"/>
  </w:num>
  <w:num w:numId="10" w16cid:durableId="43787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3273"/>
    <w:rsid w:val="00014121"/>
    <w:rsid w:val="00015F3C"/>
    <w:rsid w:val="00022BA2"/>
    <w:rsid w:val="00036F42"/>
    <w:rsid w:val="00037F65"/>
    <w:rsid w:val="000446BD"/>
    <w:rsid w:val="000534AC"/>
    <w:rsid w:val="00060BE4"/>
    <w:rsid w:val="000638A3"/>
    <w:rsid w:val="00063D23"/>
    <w:rsid w:val="00066E38"/>
    <w:rsid w:val="000733E5"/>
    <w:rsid w:val="00076245"/>
    <w:rsid w:val="0008243B"/>
    <w:rsid w:val="00084B6F"/>
    <w:rsid w:val="0008609E"/>
    <w:rsid w:val="000935CE"/>
    <w:rsid w:val="00095213"/>
    <w:rsid w:val="000A0225"/>
    <w:rsid w:val="000A35B2"/>
    <w:rsid w:val="000A4E3B"/>
    <w:rsid w:val="000B1804"/>
    <w:rsid w:val="000C0808"/>
    <w:rsid w:val="000C2D87"/>
    <w:rsid w:val="000C3FEA"/>
    <w:rsid w:val="000C5005"/>
    <w:rsid w:val="000C52FA"/>
    <w:rsid w:val="000D20BE"/>
    <w:rsid w:val="000D4AC3"/>
    <w:rsid w:val="000F27C7"/>
    <w:rsid w:val="000F2914"/>
    <w:rsid w:val="000F3B75"/>
    <w:rsid w:val="000F787C"/>
    <w:rsid w:val="00102BF7"/>
    <w:rsid w:val="001035C2"/>
    <w:rsid w:val="0010368E"/>
    <w:rsid w:val="001071A2"/>
    <w:rsid w:val="00121368"/>
    <w:rsid w:val="00131EB0"/>
    <w:rsid w:val="001342FB"/>
    <w:rsid w:val="0013556D"/>
    <w:rsid w:val="00136B64"/>
    <w:rsid w:val="0013712A"/>
    <w:rsid w:val="00141080"/>
    <w:rsid w:val="0014639D"/>
    <w:rsid w:val="00152857"/>
    <w:rsid w:val="00160BEB"/>
    <w:rsid w:val="00166B6B"/>
    <w:rsid w:val="001717B8"/>
    <w:rsid w:val="00175570"/>
    <w:rsid w:val="00177B37"/>
    <w:rsid w:val="001800C4"/>
    <w:rsid w:val="00180EF3"/>
    <w:rsid w:val="00183D87"/>
    <w:rsid w:val="00195295"/>
    <w:rsid w:val="00197102"/>
    <w:rsid w:val="001B1BD6"/>
    <w:rsid w:val="001B4166"/>
    <w:rsid w:val="001D2F8C"/>
    <w:rsid w:val="001D3D78"/>
    <w:rsid w:val="001D6527"/>
    <w:rsid w:val="001E0448"/>
    <w:rsid w:val="001E0CEE"/>
    <w:rsid w:val="001E14AF"/>
    <w:rsid w:val="001E455A"/>
    <w:rsid w:val="001E5DC9"/>
    <w:rsid w:val="001E7F62"/>
    <w:rsid w:val="001F12E6"/>
    <w:rsid w:val="00202961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74196"/>
    <w:rsid w:val="00294EE9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368B0"/>
    <w:rsid w:val="00350500"/>
    <w:rsid w:val="003551B5"/>
    <w:rsid w:val="003565EA"/>
    <w:rsid w:val="003607F1"/>
    <w:rsid w:val="003662E7"/>
    <w:rsid w:val="003672B7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77D4"/>
    <w:rsid w:val="003F10AD"/>
    <w:rsid w:val="003F3AD9"/>
    <w:rsid w:val="003F66EF"/>
    <w:rsid w:val="004028A7"/>
    <w:rsid w:val="004056FA"/>
    <w:rsid w:val="004078EA"/>
    <w:rsid w:val="004136FA"/>
    <w:rsid w:val="00415DD9"/>
    <w:rsid w:val="00420C20"/>
    <w:rsid w:val="0042253C"/>
    <w:rsid w:val="00424A4C"/>
    <w:rsid w:val="00426E46"/>
    <w:rsid w:val="00427A0A"/>
    <w:rsid w:val="00427FD6"/>
    <w:rsid w:val="00434CD9"/>
    <w:rsid w:val="00444329"/>
    <w:rsid w:val="00446AF8"/>
    <w:rsid w:val="00453F4E"/>
    <w:rsid w:val="0045609C"/>
    <w:rsid w:val="00456A29"/>
    <w:rsid w:val="00460358"/>
    <w:rsid w:val="0046176E"/>
    <w:rsid w:val="00464EB1"/>
    <w:rsid w:val="00465764"/>
    <w:rsid w:val="00466903"/>
    <w:rsid w:val="00491F5D"/>
    <w:rsid w:val="0049238B"/>
    <w:rsid w:val="004948FE"/>
    <w:rsid w:val="004A1B3D"/>
    <w:rsid w:val="004A2D09"/>
    <w:rsid w:val="004A328B"/>
    <w:rsid w:val="004A6CEF"/>
    <w:rsid w:val="004B4CB0"/>
    <w:rsid w:val="004B54CC"/>
    <w:rsid w:val="004C1160"/>
    <w:rsid w:val="004C471A"/>
    <w:rsid w:val="004D7B90"/>
    <w:rsid w:val="004E26CF"/>
    <w:rsid w:val="004F7FC9"/>
    <w:rsid w:val="0050603B"/>
    <w:rsid w:val="00520FD2"/>
    <w:rsid w:val="005246A9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207B"/>
    <w:rsid w:val="00582821"/>
    <w:rsid w:val="00583B7D"/>
    <w:rsid w:val="00584C71"/>
    <w:rsid w:val="005851C0"/>
    <w:rsid w:val="00587173"/>
    <w:rsid w:val="0059011F"/>
    <w:rsid w:val="00595AE2"/>
    <w:rsid w:val="005A5B69"/>
    <w:rsid w:val="005B0C06"/>
    <w:rsid w:val="005B3382"/>
    <w:rsid w:val="005B3AF2"/>
    <w:rsid w:val="005C17E8"/>
    <w:rsid w:val="005D4471"/>
    <w:rsid w:val="005D719D"/>
    <w:rsid w:val="005E738B"/>
    <w:rsid w:val="005F0914"/>
    <w:rsid w:val="005F33DE"/>
    <w:rsid w:val="005F3405"/>
    <w:rsid w:val="005F3BA1"/>
    <w:rsid w:val="005F3F08"/>
    <w:rsid w:val="006034A1"/>
    <w:rsid w:val="0061052B"/>
    <w:rsid w:val="00620F02"/>
    <w:rsid w:val="00623B38"/>
    <w:rsid w:val="00625B9C"/>
    <w:rsid w:val="006260E2"/>
    <w:rsid w:val="006271A6"/>
    <w:rsid w:val="00636B9C"/>
    <w:rsid w:val="00642339"/>
    <w:rsid w:val="006450E9"/>
    <w:rsid w:val="00647305"/>
    <w:rsid w:val="0065316C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20D9"/>
    <w:rsid w:val="006B4E70"/>
    <w:rsid w:val="006B57BE"/>
    <w:rsid w:val="006C0985"/>
    <w:rsid w:val="006C0E0F"/>
    <w:rsid w:val="006C0EAC"/>
    <w:rsid w:val="006D0110"/>
    <w:rsid w:val="006D28E7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4130A"/>
    <w:rsid w:val="00742123"/>
    <w:rsid w:val="00742E1E"/>
    <w:rsid w:val="0074372F"/>
    <w:rsid w:val="00744477"/>
    <w:rsid w:val="007473E7"/>
    <w:rsid w:val="007736B9"/>
    <w:rsid w:val="00774C61"/>
    <w:rsid w:val="00775B32"/>
    <w:rsid w:val="00775E8C"/>
    <w:rsid w:val="00777913"/>
    <w:rsid w:val="00782810"/>
    <w:rsid w:val="0079009D"/>
    <w:rsid w:val="007910DC"/>
    <w:rsid w:val="007A00E4"/>
    <w:rsid w:val="007A4137"/>
    <w:rsid w:val="007B0790"/>
    <w:rsid w:val="007B1E9F"/>
    <w:rsid w:val="007B5B49"/>
    <w:rsid w:val="007C44F3"/>
    <w:rsid w:val="007C51E4"/>
    <w:rsid w:val="007C7887"/>
    <w:rsid w:val="007E22F8"/>
    <w:rsid w:val="007E2360"/>
    <w:rsid w:val="007E25EC"/>
    <w:rsid w:val="007F3FA4"/>
    <w:rsid w:val="007F47F2"/>
    <w:rsid w:val="00800DE4"/>
    <w:rsid w:val="008020B8"/>
    <w:rsid w:val="00810B9A"/>
    <w:rsid w:val="00812DB5"/>
    <w:rsid w:val="00812F33"/>
    <w:rsid w:val="008167BD"/>
    <w:rsid w:val="00822F3D"/>
    <w:rsid w:val="00826097"/>
    <w:rsid w:val="00826B5B"/>
    <w:rsid w:val="00837343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C5055"/>
    <w:rsid w:val="008D5BE0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3A93"/>
    <w:rsid w:val="00926495"/>
    <w:rsid w:val="009328C3"/>
    <w:rsid w:val="00932E06"/>
    <w:rsid w:val="0093367C"/>
    <w:rsid w:val="00937993"/>
    <w:rsid w:val="009476B1"/>
    <w:rsid w:val="009564BD"/>
    <w:rsid w:val="009568D8"/>
    <w:rsid w:val="00960E8E"/>
    <w:rsid w:val="009633CB"/>
    <w:rsid w:val="009677EE"/>
    <w:rsid w:val="00970CCE"/>
    <w:rsid w:val="0097770D"/>
    <w:rsid w:val="00981C01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B3AF0"/>
    <w:rsid w:val="009C0BF0"/>
    <w:rsid w:val="009C2458"/>
    <w:rsid w:val="009C71EB"/>
    <w:rsid w:val="009D4D05"/>
    <w:rsid w:val="009D6790"/>
    <w:rsid w:val="009D79CD"/>
    <w:rsid w:val="009E0EF1"/>
    <w:rsid w:val="009F7EF6"/>
    <w:rsid w:val="00A131D3"/>
    <w:rsid w:val="00A138E1"/>
    <w:rsid w:val="00A2193D"/>
    <w:rsid w:val="00A2664F"/>
    <w:rsid w:val="00A5286F"/>
    <w:rsid w:val="00A5629C"/>
    <w:rsid w:val="00A56444"/>
    <w:rsid w:val="00A61EC4"/>
    <w:rsid w:val="00A62CB3"/>
    <w:rsid w:val="00A63570"/>
    <w:rsid w:val="00A70128"/>
    <w:rsid w:val="00A813E5"/>
    <w:rsid w:val="00A81C45"/>
    <w:rsid w:val="00A85A36"/>
    <w:rsid w:val="00A95929"/>
    <w:rsid w:val="00A96A13"/>
    <w:rsid w:val="00A97BBC"/>
    <w:rsid w:val="00AA119E"/>
    <w:rsid w:val="00AA6CFE"/>
    <w:rsid w:val="00AA6E78"/>
    <w:rsid w:val="00AB1253"/>
    <w:rsid w:val="00AC15C0"/>
    <w:rsid w:val="00AC48D2"/>
    <w:rsid w:val="00AC7AEF"/>
    <w:rsid w:val="00AD6540"/>
    <w:rsid w:val="00AE258C"/>
    <w:rsid w:val="00AE38E7"/>
    <w:rsid w:val="00AE541C"/>
    <w:rsid w:val="00AE568A"/>
    <w:rsid w:val="00AF78F6"/>
    <w:rsid w:val="00AF7B26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7D38"/>
    <w:rsid w:val="00B33E66"/>
    <w:rsid w:val="00B37B5D"/>
    <w:rsid w:val="00B4440B"/>
    <w:rsid w:val="00B45BC4"/>
    <w:rsid w:val="00B51BFB"/>
    <w:rsid w:val="00B551CB"/>
    <w:rsid w:val="00B57417"/>
    <w:rsid w:val="00B614AB"/>
    <w:rsid w:val="00B73F09"/>
    <w:rsid w:val="00B806BF"/>
    <w:rsid w:val="00B80ED2"/>
    <w:rsid w:val="00B839CF"/>
    <w:rsid w:val="00B85148"/>
    <w:rsid w:val="00B8699D"/>
    <w:rsid w:val="00B86C8E"/>
    <w:rsid w:val="00B86EF6"/>
    <w:rsid w:val="00B92CA5"/>
    <w:rsid w:val="00BB0316"/>
    <w:rsid w:val="00BB79B8"/>
    <w:rsid w:val="00BE2115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A7299"/>
    <w:rsid w:val="00CB1252"/>
    <w:rsid w:val="00CB2801"/>
    <w:rsid w:val="00CB3BE6"/>
    <w:rsid w:val="00CB5506"/>
    <w:rsid w:val="00CC32FF"/>
    <w:rsid w:val="00CC3E19"/>
    <w:rsid w:val="00CD0E8D"/>
    <w:rsid w:val="00CD2F2F"/>
    <w:rsid w:val="00CD31B2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B1521"/>
    <w:rsid w:val="00DC2FEE"/>
    <w:rsid w:val="00DC489A"/>
    <w:rsid w:val="00DC707E"/>
    <w:rsid w:val="00DD258A"/>
    <w:rsid w:val="00DD2D90"/>
    <w:rsid w:val="00DD49E8"/>
    <w:rsid w:val="00DD6C5D"/>
    <w:rsid w:val="00DE5148"/>
    <w:rsid w:val="00DF0816"/>
    <w:rsid w:val="00DF5F4E"/>
    <w:rsid w:val="00DF7398"/>
    <w:rsid w:val="00E031A6"/>
    <w:rsid w:val="00E06EAA"/>
    <w:rsid w:val="00E100FC"/>
    <w:rsid w:val="00E141EF"/>
    <w:rsid w:val="00E14D44"/>
    <w:rsid w:val="00E262A9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B24"/>
    <w:rsid w:val="00E84698"/>
    <w:rsid w:val="00E95876"/>
    <w:rsid w:val="00E95E6F"/>
    <w:rsid w:val="00E970C6"/>
    <w:rsid w:val="00EA2F97"/>
    <w:rsid w:val="00EB4E32"/>
    <w:rsid w:val="00EC2163"/>
    <w:rsid w:val="00ED3626"/>
    <w:rsid w:val="00ED459A"/>
    <w:rsid w:val="00ED5EA3"/>
    <w:rsid w:val="00ED7158"/>
    <w:rsid w:val="00EE0712"/>
    <w:rsid w:val="00EE7863"/>
    <w:rsid w:val="00EF7A9F"/>
    <w:rsid w:val="00F00759"/>
    <w:rsid w:val="00F03E54"/>
    <w:rsid w:val="00F10B32"/>
    <w:rsid w:val="00F120A5"/>
    <w:rsid w:val="00F15F1A"/>
    <w:rsid w:val="00F20E6B"/>
    <w:rsid w:val="00F21508"/>
    <w:rsid w:val="00F313F7"/>
    <w:rsid w:val="00F34C71"/>
    <w:rsid w:val="00F4032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87F30"/>
    <w:rsid w:val="00F933F0"/>
    <w:rsid w:val="00F965EA"/>
    <w:rsid w:val="00F978F8"/>
    <w:rsid w:val="00FA38FE"/>
    <w:rsid w:val="00FA5AAD"/>
    <w:rsid w:val="00FB7170"/>
    <w:rsid w:val="00FB7B1C"/>
    <w:rsid w:val="00FC7402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379CC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0A53-F1F8-41DA-AC45-34694B48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29</cp:revision>
  <cp:lastPrinted>2021-04-21T14:12:00Z</cp:lastPrinted>
  <dcterms:created xsi:type="dcterms:W3CDTF">2018-04-23T12:20:00Z</dcterms:created>
  <dcterms:modified xsi:type="dcterms:W3CDTF">2022-07-29T12:11:00Z</dcterms:modified>
</cp:coreProperties>
</file>