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9982" w14:textId="6EFDA7DE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203CC401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5638218B" w14:textId="77777777" w:rsidR="007F47F2" w:rsidRPr="00BF78B8" w:rsidRDefault="007F47F2" w:rsidP="005246A9">
      <w:pPr>
        <w:jc w:val="center"/>
      </w:pPr>
    </w:p>
    <w:p w14:paraId="426BC0C4" w14:textId="77777777" w:rsidR="007F47F2" w:rsidRPr="000A4E3B" w:rsidRDefault="007F47F2" w:rsidP="005246A9">
      <w:pPr>
        <w:jc w:val="center"/>
        <w:rPr>
          <w:sz w:val="28"/>
          <w:szCs w:val="28"/>
        </w:rPr>
      </w:pPr>
      <w:r w:rsidRPr="000A4E3B">
        <w:rPr>
          <w:sz w:val="28"/>
          <w:szCs w:val="28"/>
        </w:rPr>
        <w:t>РЕШЕНИЕ</w:t>
      </w:r>
    </w:p>
    <w:p w14:paraId="3ACEEEED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2FB0DE21" w14:textId="77777777" w:rsidR="007F47F2" w:rsidRPr="00BF78B8" w:rsidRDefault="007F47F2" w:rsidP="005246A9">
      <w:pPr>
        <w:jc w:val="center"/>
      </w:pPr>
    </w:p>
    <w:p w14:paraId="2F465E46" w14:textId="77777777" w:rsidR="007F47F2" w:rsidRPr="00BF78B8" w:rsidRDefault="007F47F2" w:rsidP="005246A9">
      <w:pPr>
        <w:jc w:val="center"/>
      </w:pPr>
    </w:p>
    <w:p w14:paraId="30694FD2" w14:textId="77777777" w:rsidR="007F47F2" w:rsidRPr="00BF78B8" w:rsidRDefault="007F47F2" w:rsidP="005246A9">
      <w:pPr>
        <w:jc w:val="both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A7AEA" w:rsidRPr="00BF78B8" w14:paraId="4D8CDBAE" w14:textId="77777777" w:rsidTr="00BA7AEA">
        <w:tc>
          <w:tcPr>
            <w:tcW w:w="5529" w:type="dxa"/>
          </w:tcPr>
          <w:p w14:paraId="7F84D6A0" w14:textId="4F5F8EA5" w:rsidR="00BA7AEA" w:rsidRPr="00BF78B8" w:rsidRDefault="00BA7AEA" w:rsidP="00BA7AEA">
            <w:pPr>
              <w:spacing w:line="276" w:lineRule="auto"/>
            </w:pPr>
            <w:r w:rsidRPr="009E1A6C">
              <w:t xml:space="preserve">от </w:t>
            </w:r>
            <w:r w:rsidR="00F34840">
              <w:t>29.07.</w:t>
            </w:r>
            <w:r w:rsidRPr="009E1A6C">
              <w:t xml:space="preserve"> 202</w:t>
            </w:r>
            <w:r w:rsidR="00AE7212">
              <w:t>4</w:t>
            </w:r>
            <w:r w:rsidRPr="009E1A6C">
              <w:t xml:space="preserve"> г. №</w:t>
            </w:r>
            <w:r w:rsidR="00AE7212">
              <w:t xml:space="preserve"> </w:t>
            </w:r>
            <w:r w:rsidR="00F34840">
              <w:t>457</w:t>
            </w:r>
          </w:p>
        </w:tc>
        <w:tc>
          <w:tcPr>
            <w:tcW w:w="4110" w:type="dxa"/>
          </w:tcPr>
          <w:p w14:paraId="262AA872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7E1C47BE" w14:textId="77777777" w:rsidTr="00BA7AEA">
        <w:tc>
          <w:tcPr>
            <w:tcW w:w="5529" w:type="dxa"/>
          </w:tcPr>
          <w:p w14:paraId="769A6FD0" w14:textId="685C1F2C" w:rsidR="00BA7AEA" w:rsidRPr="00BF78B8" w:rsidRDefault="00BA7AEA" w:rsidP="00BA7AEA">
            <w:pPr>
              <w:spacing w:line="276" w:lineRule="auto"/>
            </w:pPr>
            <w:r>
              <w:t>р</w:t>
            </w:r>
            <w:r w:rsidRPr="009E1A6C">
              <w:t>п. Навля</w:t>
            </w:r>
          </w:p>
        </w:tc>
        <w:tc>
          <w:tcPr>
            <w:tcW w:w="4110" w:type="dxa"/>
          </w:tcPr>
          <w:p w14:paraId="1DC08789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221919C7" w14:textId="77777777" w:rsidTr="00BA7AEA">
        <w:tc>
          <w:tcPr>
            <w:tcW w:w="5529" w:type="dxa"/>
          </w:tcPr>
          <w:p w14:paraId="505DAD9A" w14:textId="77777777" w:rsidR="00BA7AEA" w:rsidRPr="00BF78B8" w:rsidRDefault="00BA7AEA" w:rsidP="0010368E">
            <w:pPr>
              <w:spacing w:line="276" w:lineRule="auto"/>
            </w:pPr>
          </w:p>
        </w:tc>
        <w:tc>
          <w:tcPr>
            <w:tcW w:w="4110" w:type="dxa"/>
          </w:tcPr>
          <w:p w14:paraId="34D9C9A2" w14:textId="77777777" w:rsidR="00BA7AEA" w:rsidRPr="00BF78B8" w:rsidRDefault="00BA7AEA" w:rsidP="005246A9">
            <w:pPr>
              <w:jc w:val="both"/>
            </w:pPr>
          </w:p>
        </w:tc>
      </w:tr>
      <w:tr w:rsidR="00F6430A" w:rsidRPr="00BF78B8" w14:paraId="4EDCA2DE" w14:textId="77777777" w:rsidTr="00BA7AEA">
        <w:tc>
          <w:tcPr>
            <w:tcW w:w="5529" w:type="dxa"/>
          </w:tcPr>
          <w:p w14:paraId="3F00CFB1" w14:textId="3F3DFBBB" w:rsidR="00F6430A" w:rsidRPr="00BF78B8" w:rsidRDefault="00F6430A" w:rsidP="00BA7AEA">
            <w:pPr>
              <w:spacing w:line="276" w:lineRule="auto"/>
            </w:pPr>
            <w:r w:rsidRPr="00BF78B8">
              <w:t>Об исполнении бюджета Навлинско</w:t>
            </w:r>
            <w:r w:rsidR="00434CD9">
              <w:t>го</w:t>
            </w:r>
            <w:r w:rsidRPr="00BF78B8">
              <w:t xml:space="preserve"> городско</w:t>
            </w:r>
            <w:r w:rsidR="00434CD9">
              <w:t>го</w:t>
            </w:r>
            <w:r w:rsidRPr="00BF78B8">
              <w:t xml:space="preserve"> поселени</w:t>
            </w:r>
            <w:r w:rsidR="00434CD9">
              <w:t>я Навлинского муниципального района Брянской области</w:t>
            </w:r>
            <w:r w:rsidRPr="00BF78B8">
              <w:t xml:space="preserve"> за </w:t>
            </w:r>
            <w:r w:rsidR="004C74A6">
              <w:t xml:space="preserve">1 </w:t>
            </w:r>
            <w:r w:rsidR="00CD4D1D">
              <w:t>полугодие</w:t>
            </w:r>
            <w:r w:rsidRPr="00BF78B8">
              <w:t xml:space="preserve"> 20</w:t>
            </w:r>
            <w:r w:rsidR="00444329">
              <w:t>2</w:t>
            </w:r>
            <w:r w:rsidR="00AE7212">
              <w:t>4</w:t>
            </w:r>
            <w:r w:rsidRPr="00BF78B8">
              <w:t xml:space="preserve"> года</w:t>
            </w:r>
          </w:p>
        </w:tc>
        <w:tc>
          <w:tcPr>
            <w:tcW w:w="4110" w:type="dxa"/>
          </w:tcPr>
          <w:p w14:paraId="1D2C7DA3" w14:textId="77777777" w:rsidR="00F6430A" w:rsidRPr="00BF78B8" w:rsidRDefault="00F6430A" w:rsidP="005246A9">
            <w:pPr>
              <w:jc w:val="both"/>
            </w:pPr>
          </w:p>
        </w:tc>
      </w:tr>
    </w:tbl>
    <w:p w14:paraId="0160F186" w14:textId="77777777" w:rsidR="00F6430A" w:rsidRPr="00BF78B8" w:rsidRDefault="00F6430A" w:rsidP="005246A9">
      <w:pPr>
        <w:ind w:firstLine="540"/>
        <w:jc w:val="both"/>
      </w:pPr>
    </w:p>
    <w:p w14:paraId="491A7830" w14:textId="0A6714EB" w:rsidR="007F47F2" w:rsidRPr="00BF78B8" w:rsidRDefault="007F47F2" w:rsidP="00960DA1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CD4D1D">
        <w:t xml:space="preserve">главы администрации района, </w:t>
      </w:r>
      <w:r w:rsidR="00812F33">
        <w:t>начальник финансового управления</w:t>
      </w:r>
      <w:r w:rsidR="00F73E91" w:rsidRPr="00BF78B8">
        <w:t xml:space="preserve"> </w:t>
      </w:r>
      <w:r w:rsidR="004C74A6">
        <w:t>администрации района</w:t>
      </w:r>
      <w:r w:rsidR="00CD4D1D">
        <w:t xml:space="preserve"> Сонных Т.А.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37B21B2F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Исполнение бюджета городского поселения осуществляется в рамках действующих положений Бюджетного кодекса РФ, межбюджетных отношений, сформированных между областным и муниципальным бюджетами, и в соответствии с Решением Навлинского поселкового Совета народных депутатов от 18.12.2023 №4-242 «О бюджете Навлинского городского поселения Навлинского муниципального района Брянской области на 2024 год и на плановый период 2025 и 2026 годов».</w:t>
      </w:r>
    </w:p>
    <w:p w14:paraId="3EF478A0" w14:textId="77777777" w:rsidR="00960DA1" w:rsidRPr="00960DA1" w:rsidRDefault="00960DA1" w:rsidP="00213C82">
      <w:pPr>
        <w:spacing w:before="240" w:line="276" w:lineRule="auto"/>
        <w:ind w:firstLine="567"/>
        <w:jc w:val="both"/>
      </w:pPr>
      <w:r w:rsidRPr="00960DA1">
        <w:rPr>
          <w:b/>
          <w:bCs/>
        </w:rPr>
        <w:t>Доходы</w:t>
      </w:r>
      <w:r w:rsidRPr="00960DA1">
        <w:t xml:space="preserve"> бюджета городского поселения увеличены к уровню прошлого года на 20 746 тыс. руб. или на 121,4% и составили 37 834 тыс. руб., или 48,0 % годового плана.</w:t>
      </w:r>
    </w:p>
    <w:p w14:paraId="43C46B4A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В структуре доходов бюджета налоговые и неналоговые доходы составили 38,6%, безвозмездные поступления из других уровней бюджетной системы – 61,4%.</w:t>
      </w:r>
    </w:p>
    <w:p w14:paraId="6154D591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Объем поступлений налоговых и неналоговых доходов составил 14 588 тыс. руб., темп роста – 149,2%. Годовой план исполнен на 40,3%. </w:t>
      </w:r>
    </w:p>
    <w:p w14:paraId="0E91F3CB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Удельный вес налоговых платежей в общей сумме налоговых и неналоговых доходов составил 93,8%, неналоговых – 6,2%.</w:t>
      </w:r>
    </w:p>
    <w:p w14:paraId="10427D9A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В целом за отчетный период поступления собственных доходов увеличены к уровню предыдущего года на 4 812 тыс. руб., при этом налоговые платежи выросли на 4 822 тыс. руб., неналоговые доходы снижены на 9 тыс. руб.</w:t>
      </w:r>
    </w:p>
    <w:p w14:paraId="61D94207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Основные поступления в бюджет городского поселения (88,7%) обеспечены тремя доходными источниками: налог на доходы физических лиц (64,8%), акцизы на ГСМ (13,6%), земельный налог (10,3%).</w:t>
      </w:r>
    </w:p>
    <w:p w14:paraId="66C6F283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Структура доходов бюджета и динамика к уровню прошлого года такова: </w:t>
      </w:r>
    </w:p>
    <w:p w14:paraId="795281F9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Поступления НДФЛ увеличены на 2 559 тыс. руб. и составили 9 452 тыс. руб., или 51,1% годового плана.</w:t>
      </w:r>
    </w:p>
    <w:p w14:paraId="6D512D5B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Поступления акцизов на ГСМ увеличены на 10 тыс. руб. и составили 1 981 тыс. руб., или 48,1% годового плана </w:t>
      </w:r>
    </w:p>
    <w:p w14:paraId="5E45FEA8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Поступления земельного налога увеличены на 1 113 тыс. руб. и составили 1 505 тыс. руб., или 29,6% годового плана.</w:t>
      </w:r>
    </w:p>
    <w:p w14:paraId="3E4763F3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Доходы бюджета от налога на имущество физических лиц </w:t>
      </w:r>
      <w:bookmarkStart w:id="0" w:name="_Hlk69722061"/>
      <w:r w:rsidRPr="00960DA1">
        <w:t>составили 431 тыс. руб., или 5,5% годового плана. В аналогичном периоде прошлого года поступлений налога не было.</w:t>
      </w:r>
    </w:p>
    <w:p w14:paraId="53D230DA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lastRenderedPageBreak/>
        <w:t xml:space="preserve">Поступления сельскохозяйственного налога </w:t>
      </w:r>
      <w:bookmarkEnd w:id="0"/>
      <w:r w:rsidRPr="00960DA1">
        <w:t xml:space="preserve">увеличены на 210 тыс. руб. и составили 318 тыс. руб., или 175,9% годового плана. </w:t>
      </w:r>
    </w:p>
    <w:p w14:paraId="41A8F14A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Объем неналоговых платежей уменьшен на 9 тыс. руб. и составил 901 тыс. руб. </w:t>
      </w:r>
    </w:p>
    <w:p w14:paraId="093D7269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Доходы от арендной платы за земельные участки, расположенные в границах поселений, увеличены на 118 тыс. руб. и составили 368 тыс. руб.</w:t>
      </w:r>
    </w:p>
    <w:p w14:paraId="155AE769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Доходы от продажи земельных участков снижены на 441 тыс. руб. и составили 213 тыс. руб., или 106,5% годового плана.</w:t>
      </w:r>
    </w:p>
    <w:p w14:paraId="4C09BE67" w14:textId="70B539D8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Безвозмездные поступления из областного бюджета увеличены на 15 933 тыс. руб. и составили 23 246 тыс.</w:t>
      </w:r>
      <w:r w:rsidR="004E674B">
        <w:t xml:space="preserve"> руб.</w:t>
      </w:r>
    </w:p>
    <w:p w14:paraId="2CDA4811" w14:textId="7379043C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В связи с неисполнением условий Соглашения о предоставлении субсидии на строительство очистных сооружений по требованию Департамента ТЭК и ЖКХ Брянской области осуществлен возврат средств из бюджета </w:t>
      </w:r>
      <w:r>
        <w:t xml:space="preserve">городского </w:t>
      </w:r>
      <w:r w:rsidRPr="00960DA1">
        <w:t>поселения в областной бюджет в сумме 987,2 тыс. руб.</w:t>
      </w:r>
    </w:p>
    <w:p w14:paraId="4D0B7510" w14:textId="77777777" w:rsidR="00960DA1" w:rsidRPr="00960DA1" w:rsidRDefault="00960DA1" w:rsidP="00213C82">
      <w:pPr>
        <w:spacing w:before="240" w:line="276" w:lineRule="auto"/>
        <w:ind w:firstLine="567"/>
        <w:jc w:val="both"/>
      </w:pPr>
      <w:r w:rsidRPr="00960DA1">
        <w:rPr>
          <w:b/>
          <w:bCs/>
        </w:rPr>
        <w:t>Расходы</w:t>
      </w:r>
      <w:r w:rsidRPr="00960DA1">
        <w:t xml:space="preserve"> бюджета городского поселения за отчетный период увеличены к уровню прошлого года на 14 978 тыс. руб. и составили 36 777 тыс. руб., или 38,6% годового плана.</w:t>
      </w:r>
    </w:p>
    <w:p w14:paraId="4B96CC31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Приоритетным направлением в расходовании бюджетных средств является финансирование работ по ремонту и содержанию автомобильных дорог, благоустройству территорий, обеспечения уличного освещения, бесперебойной работы бани. Удельный вес в структуре расходов бюджета – 91%, на эти цели направлено 33 485 тыс. руб.</w:t>
      </w:r>
    </w:p>
    <w:p w14:paraId="7324446C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 xml:space="preserve">По разделу «Общегосударственные вопросы» </w:t>
      </w:r>
      <w:r w:rsidRPr="00960DA1">
        <w:rPr>
          <w:iCs/>
        </w:rPr>
        <w:t xml:space="preserve">расходы увеличены </w:t>
      </w:r>
      <w:r w:rsidRPr="00960DA1">
        <w:t>на 78 тыс. руб. и составили</w:t>
      </w:r>
      <w:r w:rsidRPr="00960DA1">
        <w:rPr>
          <w:i/>
          <w:iCs/>
        </w:rPr>
        <w:t xml:space="preserve"> </w:t>
      </w:r>
      <w:r w:rsidRPr="00960DA1">
        <w:rPr>
          <w:iCs/>
        </w:rPr>
        <w:t>163</w:t>
      </w:r>
      <w:r w:rsidRPr="00960DA1">
        <w:t xml:space="preserve"> тыс. руб., или 6,3% годового плана. Удельный вес в структуре расходов бюджета – 0,4%.</w:t>
      </w:r>
    </w:p>
    <w:p w14:paraId="5161CE28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Средства направлены на расходы на проведение выборов и референдумов – 45 тыс. руб., на коммунальные расходы по оплате услуг муниципального жилья в МКД – 19 тыс. руб., на оценку имущества муниципальной собственности – 3 тыс. руб., публикацию материалов в районной газете и информационных бюллетеней – 57 тыс. руб., на оплату взноса в Ассоциацию СМО – 12 тыс. руб., на исполнение судебных актов РФ и мировых соглашений по возмещению причиненного вреда – 27 тыс. руб.</w:t>
      </w:r>
    </w:p>
    <w:p w14:paraId="302EB62A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 xml:space="preserve">По разделу «Национальная безопасность и правоохранительная деятельность» </w:t>
      </w:r>
      <w:r w:rsidRPr="00960DA1">
        <w:t xml:space="preserve">расходы </w:t>
      </w:r>
      <w:r w:rsidRPr="00960DA1">
        <w:rPr>
          <w:iCs/>
        </w:rPr>
        <w:t>уменьшены</w:t>
      </w:r>
      <w:r w:rsidRPr="00960DA1">
        <w:t xml:space="preserve"> на 1 тыс. руб. и составили 149 тыс. руб., или 48% годового плана. Удельный вес в структуре расходов – 0,4%. Средства направлены на противопожарную опашку территорий поселения. </w:t>
      </w:r>
    </w:p>
    <w:p w14:paraId="0B0F36BD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 xml:space="preserve">По разделу </w:t>
      </w:r>
      <w:r w:rsidRPr="00960DA1">
        <w:rPr>
          <w:i/>
        </w:rPr>
        <w:t>«Национальная экономика»</w:t>
      </w:r>
      <w:r w:rsidRPr="00960DA1">
        <w:t xml:space="preserve"> </w:t>
      </w:r>
      <w:r w:rsidRPr="00960DA1">
        <w:rPr>
          <w:iCs/>
        </w:rPr>
        <w:t>расходы</w:t>
      </w:r>
      <w:r w:rsidRPr="00960DA1">
        <w:t xml:space="preserve"> снижены на 8 602 тыс. руб. и составили в отчетном периоде 2 905 тыс. руб., или 11,9% годового плана. Удельный вес в структуре расходов – 7,9%.</w:t>
      </w:r>
    </w:p>
    <w:p w14:paraId="61B39D17" w14:textId="6B04D8C0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Средства направлены на содержание автомобильных дорог, в том числе на очистку и обработку дорог – 507 тыс. руб., тротуаров и пешеходных зон – 424 тыс. руб.; очистку дорог от песка – 299 тыс. руб., грейдирование грунтовых дорог – 1 105 тыс. руб., ямочный ремонт дорог– 463 тыс. руб., окашивание обочин дорог – 62 тыс. руб.,   проверку сметной стоимости по текущему ремонту автодорог – 45 тыс. руб. </w:t>
      </w:r>
    </w:p>
    <w:p w14:paraId="429E708B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>По разделу «Жилищно-коммунальное хозяйство»</w:t>
      </w:r>
      <w:r w:rsidRPr="00960DA1">
        <w:t xml:space="preserve"> </w:t>
      </w:r>
      <w:r w:rsidRPr="00960DA1">
        <w:rPr>
          <w:iCs/>
        </w:rPr>
        <w:t>расходы</w:t>
      </w:r>
      <w:r w:rsidRPr="00960DA1">
        <w:t xml:space="preserve"> </w:t>
      </w:r>
      <w:r w:rsidRPr="00960DA1">
        <w:rPr>
          <w:iCs/>
        </w:rPr>
        <w:t>увеличены</w:t>
      </w:r>
      <w:r w:rsidRPr="00960DA1">
        <w:rPr>
          <w:i/>
          <w:iCs/>
        </w:rPr>
        <w:t xml:space="preserve"> </w:t>
      </w:r>
      <w:r w:rsidRPr="00960DA1">
        <w:t>на 23 800 тыс. руб. и составили</w:t>
      </w:r>
      <w:r w:rsidRPr="00960DA1">
        <w:rPr>
          <w:i/>
          <w:iCs/>
        </w:rPr>
        <w:t xml:space="preserve"> </w:t>
      </w:r>
      <w:r w:rsidRPr="00960DA1">
        <w:rPr>
          <w:iCs/>
        </w:rPr>
        <w:t>30 580</w:t>
      </w:r>
      <w:r w:rsidRPr="00960DA1">
        <w:t xml:space="preserve"> тыс. руб., или 57% годового плана. Удельный вес в структуре расходов – 83,1%.</w:t>
      </w:r>
    </w:p>
    <w:p w14:paraId="535061A2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 xml:space="preserve">Средства бюджета поселения направлены на:       </w:t>
      </w:r>
    </w:p>
    <w:p w14:paraId="4DBE5539" w14:textId="33FC2800" w:rsidR="00960DA1" w:rsidRPr="00960DA1" w:rsidRDefault="00960DA1" w:rsidP="00960DA1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960DA1">
        <w:t xml:space="preserve">Жилищное хозяйство </w:t>
      </w:r>
      <w:bookmarkStart w:id="1" w:name="_Hlk37407621"/>
      <w:r w:rsidRPr="00960DA1">
        <w:t>(ежемесячные взносы на капитальный ремонт муниципального жилья в МКД в размере по 8,18 руб./м2) – 48 тыс. руб.</w:t>
      </w:r>
      <w:bookmarkEnd w:id="1"/>
      <w:r w:rsidRPr="00960DA1">
        <w:t>;</w:t>
      </w:r>
    </w:p>
    <w:p w14:paraId="19D84F97" w14:textId="1C150638" w:rsidR="00960DA1" w:rsidRPr="00960DA1" w:rsidRDefault="00960DA1" w:rsidP="00960DA1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960DA1">
        <w:lastRenderedPageBreak/>
        <w:t>Коммунальное хозяйство – 13 681 тыс. руб., в том числе на субсидирование выпадающих доходов бани – 620 тыс. руб.; строительство очистных сооружений в пос. Навля (2 этап) – 11 360,9 тыс. руб.; осуществление технологического присоединения к электрическим сетям блочной газовой котельной – 150 тыс. руб.</w:t>
      </w:r>
      <w:r>
        <w:t xml:space="preserve"> и</w:t>
      </w:r>
      <w:r w:rsidRPr="00960DA1">
        <w:t xml:space="preserve"> реконструкции систем водоснабжения – 628 тыс. руб.; услуги по ремонту (теплосетей) теплотрассы – 17 тыс. руб., субсидии на компенсацию некомпенсируемых финансовых убытков (котельной) ПАО «Брянскэнерго» – 905 тыс. руб.; </w:t>
      </w:r>
    </w:p>
    <w:p w14:paraId="1A720C34" w14:textId="18E61A09" w:rsidR="00960DA1" w:rsidRPr="00960DA1" w:rsidRDefault="00960DA1" w:rsidP="00960DA1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960DA1">
        <w:t>Благоустройство</w:t>
      </w:r>
      <w:r w:rsidRPr="00960DA1">
        <w:rPr>
          <w:b/>
          <w:bCs/>
        </w:rPr>
        <w:t xml:space="preserve"> – </w:t>
      </w:r>
      <w:r w:rsidRPr="00960DA1">
        <w:rPr>
          <w:bCs/>
        </w:rPr>
        <w:t>3 151</w:t>
      </w:r>
      <w:r w:rsidRPr="00960DA1">
        <w:t xml:space="preserve"> тыс. руб., в том числе на уличное освещение – 2 972 тыс. руб. </w:t>
      </w:r>
      <w:r>
        <w:t>(</w:t>
      </w:r>
      <w:r w:rsidRPr="00960DA1">
        <w:t>устройств</w:t>
      </w:r>
      <w:r>
        <w:t>о</w:t>
      </w:r>
      <w:r w:rsidRPr="00960DA1">
        <w:t xml:space="preserve"> уличного освещения по ул. Промышленная – 191 тыс. руб., технологическое присоединение к электрическим сетям по ул. Промышленная – 33 тыс. руб.</w:t>
      </w:r>
      <w:r>
        <w:t>,</w:t>
      </w:r>
      <w:r w:rsidRPr="00960DA1">
        <w:t xml:space="preserve"> приобретение основных средств – 445 тыс. руб., закупка энергетических ресурсов –</w:t>
      </w:r>
      <w:r>
        <w:t xml:space="preserve"> </w:t>
      </w:r>
      <w:r w:rsidRPr="00960DA1">
        <w:t>2 303 тыс. руб.</w:t>
      </w:r>
      <w:r>
        <w:t>)</w:t>
      </w:r>
      <w:r w:rsidRPr="00960DA1">
        <w:t xml:space="preserve">; техобслуживание мемориала «Вечный огонь» – 1 тыс. руб.; мероприятия по благоустройству – 57 тыс. руб. </w:t>
      </w:r>
      <w:r>
        <w:t>(</w:t>
      </w:r>
      <w:r w:rsidRPr="00960DA1">
        <w:t>оплат</w:t>
      </w:r>
      <w:r>
        <w:t>а</w:t>
      </w:r>
      <w:r w:rsidRPr="00960DA1">
        <w:t xml:space="preserve"> за лабораторные исследования проб воды – 4 тыс. руб., подготовк</w:t>
      </w:r>
      <w:r>
        <w:t>а</w:t>
      </w:r>
      <w:r w:rsidRPr="00960DA1">
        <w:t xml:space="preserve"> ПСД по благоустройству дворовых территорий МКД – 53 тыс. руб.</w:t>
      </w:r>
      <w:r>
        <w:t>)</w:t>
      </w:r>
      <w:r w:rsidRPr="00960DA1">
        <w:t>; инициативное бюджетирование – 21 тыс. руб. (проверка достоверности сметной стоимости); оплата исполнительского сбора на основании вступивших в законную силу судебных актов – 100 тыс. руб.</w:t>
      </w:r>
    </w:p>
    <w:p w14:paraId="244AF126" w14:textId="4E81805B" w:rsidR="00960DA1" w:rsidRPr="00960DA1" w:rsidRDefault="00960DA1" w:rsidP="00960DA1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960DA1">
        <w:t xml:space="preserve">Другие вопросы в области жилищно – коммунального хозяйства (приобретение специализированной техники) – 13 700 тыс. руб. </w:t>
      </w:r>
    </w:p>
    <w:p w14:paraId="6A11F281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 xml:space="preserve">По разделу «Культура, кинематография» </w:t>
      </w:r>
      <w:r w:rsidRPr="00960DA1">
        <w:rPr>
          <w:iCs/>
        </w:rPr>
        <w:t>расходы</w:t>
      </w:r>
      <w:r w:rsidRPr="00960DA1">
        <w:t xml:space="preserve"> </w:t>
      </w:r>
      <w:r w:rsidRPr="00960DA1">
        <w:rPr>
          <w:iCs/>
        </w:rPr>
        <w:t>увеличены</w:t>
      </w:r>
      <w:r w:rsidRPr="00960DA1">
        <w:t xml:space="preserve"> на 29 тыс. руб. и составили 2 788 тыс. руб., или 41,5% годового плана. Удельный вес в структуре расходов – 7,6%.</w:t>
      </w:r>
    </w:p>
    <w:p w14:paraId="4D912571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На обеспечение деятельности библиотек направлено 1 642 тыс. руб., домов культуры – 1 146 тыс. руб.</w:t>
      </w:r>
    </w:p>
    <w:p w14:paraId="54562D13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 xml:space="preserve">По разделу «Социальная политика» </w:t>
      </w:r>
      <w:r w:rsidRPr="00960DA1">
        <w:t xml:space="preserve">расходы </w:t>
      </w:r>
      <w:r w:rsidRPr="00960DA1">
        <w:rPr>
          <w:iCs/>
        </w:rPr>
        <w:t>уменьшены</w:t>
      </w:r>
      <w:r w:rsidRPr="00960DA1">
        <w:t xml:space="preserve"> на 18 тыс. руб. и составили 175 тыс. руб., или 45% годового плана. Удельный вес в структуре расходов – 0,5%. Средства направлены на выплату пенсии муниципальным служащим. </w:t>
      </w:r>
    </w:p>
    <w:p w14:paraId="090C279E" w14:textId="227EF874" w:rsidR="00960DA1" w:rsidRPr="00960DA1" w:rsidRDefault="00960DA1" w:rsidP="00960DA1">
      <w:pPr>
        <w:spacing w:line="276" w:lineRule="auto"/>
        <w:ind w:firstLine="567"/>
        <w:jc w:val="both"/>
      </w:pPr>
      <w:r w:rsidRPr="00960DA1">
        <w:rPr>
          <w:i/>
          <w:iCs/>
        </w:rPr>
        <w:t xml:space="preserve">По разделу «Физическая культура и спорт» </w:t>
      </w:r>
      <w:r w:rsidRPr="00960DA1">
        <w:t xml:space="preserve">расходы </w:t>
      </w:r>
      <w:r w:rsidRPr="00960DA1">
        <w:rPr>
          <w:iCs/>
        </w:rPr>
        <w:t>уменьшены</w:t>
      </w:r>
      <w:r w:rsidRPr="00960DA1">
        <w:t xml:space="preserve"> на 308 тыс. руб. и составили 17 тыс. руб., или 0,3% годового плана. Средства направлены на окашивание </w:t>
      </w:r>
      <w:r>
        <w:t xml:space="preserve">территории </w:t>
      </w:r>
      <w:r w:rsidRPr="00960DA1">
        <w:t xml:space="preserve">стадиона. </w:t>
      </w:r>
    </w:p>
    <w:p w14:paraId="32589996" w14:textId="77777777" w:rsidR="00960DA1" w:rsidRPr="00960DA1" w:rsidRDefault="00960DA1" w:rsidP="00213C82">
      <w:pPr>
        <w:spacing w:before="240" w:line="276" w:lineRule="auto"/>
        <w:ind w:firstLine="567"/>
        <w:jc w:val="both"/>
      </w:pPr>
      <w:r w:rsidRPr="00960DA1">
        <w:t>В составе бюджета поселения предусмотрена реализация 2-х муниципальных программ, ответственным исполнителем которых является администрация Навлинского района:</w:t>
      </w:r>
    </w:p>
    <w:p w14:paraId="0C08EA62" w14:textId="77777777" w:rsidR="00960DA1" w:rsidRPr="00960DA1" w:rsidRDefault="00960DA1" w:rsidP="00960DA1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960DA1">
        <w:t xml:space="preserve">Муниципальная программа «Реализация полномочий Навлинского городского поселения», расходы на реализацию программных мероприятий </w:t>
      </w:r>
      <w:r w:rsidRPr="00960DA1">
        <w:rPr>
          <w:iCs/>
        </w:rPr>
        <w:t>увеличены</w:t>
      </w:r>
      <w:r w:rsidRPr="00960DA1">
        <w:t xml:space="preserve"> на 14 917 тыс. руб. и составили 36 536 тыс. руб., или 40,6% годового плана.</w:t>
      </w:r>
    </w:p>
    <w:p w14:paraId="4D1471BD" w14:textId="6EB828C2" w:rsidR="00960DA1" w:rsidRPr="00960DA1" w:rsidRDefault="00960DA1" w:rsidP="00960DA1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960DA1">
        <w:t>Муниципальная программа «Формирование современной городской среды». При годовом плане в объеме 3 099 тыс. руб.</w:t>
      </w:r>
      <w:r w:rsidR="00213C82">
        <w:t>,</w:t>
      </w:r>
      <w:r w:rsidRPr="00960DA1">
        <w:t xml:space="preserve"> в отчетном периоде расходов не произведено.</w:t>
      </w:r>
    </w:p>
    <w:p w14:paraId="245C4C15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Непрограммные расходы составили 240,7 тыс. руб., или 11% годового плана.</w:t>
      </w:r>
    </w:p>
    <w:p w14:paraId="03DF951A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Кредиторской задолженности по состоянию на 01.07.2024 не допущено.</w:t>
      </w:r>
    </w:p>
    <w:p w14:paraId="3367C742" w14:textId="77777777" w:rsidR="00960DA1" w:rsidRPr="00960DA1" w:rsidRDefault="00960DA1" w:rsidP="00960DA1">
      <w:pPr>
        <w:spacing w:line="276" w:lineRule="auto"/>
        <w:ind w:firstLine="567"/>
        <w:jc w:val="both"/>
      </w:pPr>
      <w:r w:rsidRPr="00960DA1">
        <w:t>Муниципальный долг по состоянию на 01.07.2024 отсутствует, муниципальные гарантии не предоставлялись.</w:t>
      </w:r>
    </w:p>
    <w:p w14:paraId="3694E1A3" w14:textId="0E57C2DC" w:rsidR="00922E44" w:rsidRDefault="00922E44" w:rsidP="00BA7AEA">
      <w:pPr>
        <w:spacing w:line="276" w:lineRule="auto"/>
        <w:ind w:firstLine="567"/>
        <w:jc w:val="both"/>
      </w:pPr>
      <w:r w:rsidRPr="009C3E49">
        <w:t xml:space="preserve">Рассмотрев итоги исполнения бюджета </w:t>
      </w:r>
      <w:r>
        <w:t xml:space="preserve">Навлинского городского поселения </w:t>
      </w:r>
      <w:r w:rsidRPr="00791AAA">
        <w:t>Навлинского муниципального района Брянской области</w:t>
      </w:r>
      <w:r w:rsidRPr="009C3E49">
        <w:t xml:space="preserve"> за 1 </w:t>
      </w:r>
      <w:r w:rsidR="00CD4D1D">
        <w:t>полугодие</w:t>
      </w:r>
      <w:r w:rsidRPr="009C3E49">
        <w:t xml:space="preserve"> 20</w:t>
      </w:r>
      <w:r>
        <w:t>2</w:t>
      </w:r>
      <w:r w:rsidR="00A6175C">
        <w:t>4</w:t>
      </w:r>
      <w:r w:rsidRPr="009C3E49">
        <w:t xml:space="preserve"> года, коллегия при главе администрации района</w:t>
      </w:r>
      <w:r w:rsidRPr="00BF78B8">
        <w:t xml:space="preserve"> </w:t>
      </w:r>
    </w:p>
    <w:p w14:paraId="23818622" w14:textId="77777777" w:rsidR="00922E44" w:rsidRDefault="00922E44" w:rsidP="00BA7AEA">
      <w:pPr>
        <w:spacing w:line="276" w:lineRule="auto"/>
        <w:ind w:firstLine="567"/>
        <w:jc w:val="both"/>
      </w:pPr>
    </w:p>
    <w:p w14:paraId="701EBA45" w14:textId="08A0FFC9" w:rsidR="007F47F2" w:rsidRDefault="007F47F2" w:rsidP="00BA7AEA">
      <w:pPr>
        <w:spacing w:line="276" w:lineRule="auto"/>
        <w:ind w:firstLine="567"/>
        <w:jc w:val="both"/>
      </w:pPr>
      <w:r w:rsidRPr="00BF78B8">
        <w:t>РЕШИЛА:</w:t>
      </w:r>
    </w:p>
    <w:p w14:paraId="65DCED2A" w14:textId="36F9C225" w:rsidR="00180EF3" w:rsidRPr="00BF78B8" w:rsidRDefault="00BF78B8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lastRenderedPageBreak/>
        <w:t>Отчет заместителя администрации района</w:t>
      </w:r>
      <w:bookmarkStart w:id="2" w:name="_Hlk69742701"/>
      <w:r w:rsidR="00922E44">
        <w:t xml:space="preserve">, </w:t>
      </w:r>
      <w:r w:rsidR="00812F33">
        <w:t>начальника финансового управления</w:t>
      </w:r>
      <w:r w:rsidRPr="00BF78B8">
        <w:t xml:space="preserve"> </w:t>
      </w:r>
      <w:bookmarkEnd w:id="2"/>
      <w:r w:rsidRPr="00BF78B8">
        <w:t xml:space="preserve">Сонных Т.А. </w:t>
      </w:r>
      <w:r w:rsidR="00180EF3" w:rsidRPr="00BF78B8">
        <w:t>«Об исполнении бюджета Навлинско</w:t>
      </w:r>
      <w:r w:rsidR="00812F33">
        <w:t>го</w:t>
      </w:r>
      <w:r w:rsidR="00180EF3" w:rsidRPr="00BF78B8">
        <w:t xml:space="preserve"> городско</w:t>
      </w:r>
      <w:r w:rsidR="00812F33">
        <w:t>го</w:t>
      </w:r>
      <w:r w:rsidR="00180EF3" w:rsidRPr="00BF78B8">
        <w:t xml:space="preserve"> поселени</w:t>
      </w:r>
      <w:r w:rsidR="00812F33">
        <w:t>я Навлинского муниципального района Брянской области</w:t>
      </w:r>
      <w:r w:rsidR="00180EF3" w:rsidRPr="00BF78B8">
        <w:t xml:space="preserve"> за </w:t>
      </w:r>
      <w:r w:rsidR="00D466CE" w:rsidRPr="00BF78B8">
        <w:t xml:space="preserve">1 </w:t>
      </w:r>
      <w:r w:rsidR="00CD4D1D">
        <w:t>полугодие</w:t>
      </w:r>
      <w:r w:rsidR="00180EF3" w:rsidRPr="00BF78B8">
        <w:t xml:space="preserve"> 20</w:t>
      </w:r>
      <w:r w:rsidR="00812F33">
        <w:t>2</w:t>
      </w:r>
      <w:r w:rsidR="00BC1E36">
        <w:t>4</w:t>
      </w:r>
      <w:r w:rsidR="00180EF3" w:rsidRPr="00BF78B8">
        <w:t xml:space="preserve"> года» принять к сведению.</w:t>
      </w:r>
    </w:p>
    <w:p w14:paraId="34B0C177" w14:textId="04FE43CD" w:rsidR="00922E44" w:rsidRPr="00922E44" w:rsidRDefault="00922E44" w:rsidP="005419DC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Администрации Навлинского района в срок до 15 мая направить отчет об</w:t>
      </w:r>
      <w:r w:rsidR="00BA7AEA">
        <w:t xml:space="preserve"> </w:t>
      </w:r>
      <w:r>
        <w:t>и</w:t>
      </w:r>
      <w:r w:rsidRPr="00922E44">
        <w:t>сполнении</w:t>
      </w:r>
      <w:r>
        <w:t xml:space="preserve"> </w:t>
      </w:r>
      <w:r w:rsidRPr="00922E44">
        <w:t xml:space="preserve">бюджета за 1 </w:t>
      </w:r>
      <w:r w:rsidR="00CD4D1D">
        <w:t>полугодие</w:t>
      </w:r>
      <w:r w:rsidRPr="00922E44">
        <w:t xml:space="preserve"> 202</w:t>
      </w:r>
      <w:r w:rsidR="00BC1E36">
        <w:t>4</w:t>
      </w:r>
      <w:r w:rsidRPr="00922E44">
        <w:t xml:space="preserve"> года в Навлинский </w:t>
      </w:r>
      <w:r>
        <w:t>поселковый</w:t>
      </w:r>
      <w:r w:rsidRPr="00922E44">
        <w:t xml:space="preserve"> Совет народных депутатов и Контрольно-счетную палату Навлинского муниципального района.</w:t>
      </w:r>
    </w:p>
    <w:p w14:paraId="3A71EE7C" w14:textId="33EB2938" w:rsidR="00922E44" w:rsidRPr="009C3E49" w:rsidRDefault="00922E44" w:rsidP="000E518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</w:t>
      </w:r>
      <w:r w:rsidR="00BA7AEA">
        <w:t xml:space="preserve"> </w:t>
      </w:r>
      <w:r w:rsidRPr="009C3E49">
        <w:t>выполнения плановых назначений на 20</w:t>
      </w:r>
      <w:r>
        <w:t>2</w:t>
      </w:r>
      <w:r w:rsidR="00BC1E36">
        <w:t>4</w:t>
      </w:r>
      <w:r w:rsidRPr="009C3E49">
        <w:t xml:space="preserve"> год по администрируемым налог</w:t>
      </w:r>
      <w:r>
        <w:t xml:space="preserve">овым и неналоговым </w:t>
      </w:r>
      <w:r w:rsidRPr="009C3E49">
        <w:t xml:space="preserve">платежам, сокращению задолженности по </w:t>
      </w:r>
      <w:r>
        <w:t>администрируемым платежам</w:t>
      </w:r>
      <w:r w:rsidRPr="009C3E49">
        <w:t>.</w:t>
      </w:r>
    </w:p>
    <w:p w14:paraId="515CB085" w14:textId="7681EE14" w:rsidR="00922E44" w:rsidRPr="00922E44" w:rsidRDefault="00922E44" w:rsidP="0097476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Главным распорядителям средств местного бюджета обеспечить эффективность</w:t>
      </w:r>
      <w:r w:rsidR="00BA7AEA">
        <w:t xml:space="preserve"> </w:t>
      </w:r>
      <w:r w:rsidRPr="00922E44">
        <w:t>расходования бюджетных средств, достижение результативности программных мероприятий.</w:t>
      </w:r>
    </w:p>
    <w:p w14:paraId="44D86A3B" w14:textId="18D99568" w:rsidR="00922E44" w:rsidRPr="00922E44" w:rsidRDefault="00922E44" w:rsidP="00D93657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 xml:space="preserve">Снять с контроля </w:t>
      </w:r>
      <w:r w:rsidR="00BA7AEA">
        <w:t>Р</w:t>
      </w:r>
      <w:r w:rsidRPr="00922E44">
        <w:t xml:space="preserve">ешение коллегии при </w:t>
      </w:r>
      <w:r w:rsidR="00BA7AEA">
        <w:t>г</w:t>
      </w:r>
      <w:r w:rsidRPr="00922E44">
        <w:t>лаве администрации Навлинского района от 2</w:t>
      </w:r>
      <w:r w:rsidR="00CD4D1D">
        <w:t>9</w:t>
      </w:r>
      <w:r w:rsidRPr="00922E44">
        <w:t>.0</w:t>
      </w:r>
      <w:r w:rsidR="00CD4D1D">
        <w:t>4</w:t>
      </w:r>
      <w:r w:rsidRPr="00922E44">
        <w:t>.202</w:t>
      </w:r>
      <w:r w:rsidR="00204515">
        <w:t>4</w:t>
      </w:r>
      <w:r w:rsidRPr="00922E44">
        <w:t xml:space="preserve"> №</w:t>
      </w:r>
      <w:r w:rsidR="00CD4D1D">
        <w:t>4</w:t>
      </w:r>
      <w:r w:rsidRPr="00922E44">
        <w:t>/</w:t>
      </w:r>
      <w:r>
        <w:t>2</w:t>
      </w:r>
      <w:r w:rsidRPr="00922E44">
        <w:t xml:space="preserve"> «Об исполнении бюджета </w:t>
      </w:r>
      <w:r>
        <w:t xml:space="preserve">Навлинского городского поселения </w:t>
      </w:r>
      <w:r w:rsidRPr="00922E44">
        <w:t xml:space="preserve">Навлинского муниципального района Брянской области за </w:t>
      </w:r>
      <w:r w:rsidR="00CD4D1D">
        <w:t xml:space="preserve">1 квартал </w:t>
      </w:r>
      <w:r w:rsidRPr="00922E44">
        <w:t>202</w:t>
      </w:r>
      <w:r w:rsidR="00CD4D1D">
        <w:t>4</w:t>
      </w:r>
      <w:r w:rsidRPr="00922E44">
        <w:t xml:space="preserve"> год</w:t>
      </w:r>
      <w:r w:rsidR="00CD4D1D">
        <w:t>а</w:t>
      </w:r>
      <w:r w:rsidRPr="00922E44">
        <w:t>».</w:t>
      </w:r>
    </w:p>
    <w:p w14:paraId="11642AED" w14:textId="670032DB" w:rsidR="00180EF3" w:rsidRPr="00BF78B8" w:rsidRDefault="00180EF3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t>Контроль исполнения данного решения возложить на заместителя главы администрации района</w:t>
      </w:r>
      <w:r w:rsidR="00922E44">
        <w:t xml:space="preserve">, </w:t>
      </w:r>
      <w:r w:rsidR="00812F33" w:rsidRPr="00812F33">
        <w:t xml:space="preserve">начальника финансового управления </w:t>
      </w:r>
      <w:r w:rsidRPr="00BF78B8">
        <w:t>Т.А. Сонных.</w:t>
      </w:r>
    </w:p>
    <w:p w14:paraId="4ACF7B39" w14:textId="77777777" w:rsidR="00180EF3" w:rsidRPr="00BF78B8" w:rsidRDefault="00180EF3" w:rsidP="00BA7AEA">
      <w:pPr>
        <w:spacing w:line="276" w:lineRule="auto"/>
        <w:ind w:firstLine="567"/>
        <w:jc w:val="both"/>
      </w:pPr>
    </w:p>
    <w:p w14:paraId="14B70B3B" w14:textId="77777777" w:rsidR="004E26CF" w:rsidRPr="00BF78B8" w:rsidRDefault="004E26CF" w:rsidP="00F724A3">
      <w:pPr>
        <w:spacing w:line="276" w:lineRule="auto"/>
      </w:pPr>
    </w:p>
    <w:p w14:paraId="4D1A5D4A" w14:textId="77777777" w:rsidR="00922E44" w:rsidRDefault="00DF0816" w:rsidP="00922E44">
      <w:pPr>
        <w:spacing w:line="276" w:lineRule="auto"/>
      </w:pPr>
      <w:r>
        <w:t xml:space="preserve">       </w:t>
      </w:r>
      <w:r w:rsidR="00922E44">
        <w:t xml:space="preserve">Глава администрации Навлинского </w:t>
      </w:r>
    </w:p>
    <w:p w14:paraId="035336D5" w14:textId="6ACFE47D" w:rsidR="007F47F2" w:rsidRPr="00BF78B8" w:rsidRDefault="00922E44" w:rsidP="00922E44">
      <w:pPr>
        <w:spacing w:line="276" w:lineRule="auto"/>
      </w:pPr>
      <w:r>
        <w:t xml:space="preserve">       района, председатель коллегии                                                                           А.А. Прудник</w:t>
      </w:r>
    </w:p>
    <w:p w14:paraId="2A6B360A" w14:textId="77777777" w:rsidR="004E26CF" w:rsidRPr="00BF78B8" w:rsidRDefault="004E26CF" w:rsidP="005246A9">
      <w:pPr>
        <w:jc w:val="both"/>
      </w:pPr>
    </w:p>
    <w:p w14:paraId="6E04DB00" w14:textId="77777777" w:rsidR="005F0914" w:rsidRPr="00BF78B8" w:rsidRDefault="005F0914" w:rsidP="005246A9">
      <w:pPr>
        <w:jc w:val="both"/>
      </w:pPr>
    </w:p>
    <w:sectPr w:rsidR="005F0914" w:rsidRPr="00BF78B8" w:rsidSect="00BA7AEA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A20E3"/>
    <w:multiLevelType w:val="multilevel"/>
    <w:tmpl w:val="8B3A97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1307282">
    <w:abstractNumId w:val="3"/>
  </w:num>
  <w:num w:numId="2" w16cid:durableId="394547766">
    <w:abstractNumId w:val="1"/>
  </w:num>
  <w:num w:numId="3" w16cid:durableId="1852059603">
    <w:abstractNumId w:val="6"/>
  </w:num>
  <w:num w:numId="4" w16cid:durableId="521549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0004678">
    <w:abstractNumId w:val="4"/>
  </w:num>
  <w:num w:numId="6" w16cid:durableId="729613737">
    <w:abstractNumId w:val="5"/>
  </w:num>
  <w:num w:numId="7" w16cid:durableId="15884547">
    <w:abstractNumId w:val="0"/>
  </w:num>
  <w:num w:numId="8" w16cid:durableId="2080714495">
    <w:abstractNumId w:val="8"/>
  </w:num>
  <w:num w:numId="9" w16cid:durableId="846402324">
    <w:abstractNumId w:val="7"/>
  </w:num>
  <w:num w:numId="10" w16cid:durableId="35850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60BE4"/>
    <w:rsid w:val="000638A3"/>
    <w:rsid w:val="00063D23"/>
    <w:rsid w:val="00066E38"/>
    <w:rsid w:val="000733E5"/>
    <w:rsid w:val="00076245"/>
    <w:rsid w:val="0008243B"/>
    <w:rsid w:val="00084B6F"/>
    <w:rsid w:val="0008609E"/>
    <w:rsid w:val="000935CE"/>
    <w:rsid w:val="00095213"/>
    <w:rsid w:val="000A35B2"/>
    <w:rsid w:val="000A4E3B"/>
    <w:rsid w:val="000B1804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68E"/>
    <w:rsid w:val="001071A2"/>
    <w:rsid w:val="00121368"/>
    <w:rsid w:val="00131EB0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5295"/>
    <w:rsid w:val="00197102"/>
    <w:rsid w:val="001B1BD6"/>
    <w:rsid w:val="001B4166"/>
    <w:rsid w:val="001B6A4E"/>
    <w:rsid w:val="001D2F8C"/>
    <w:rsid w:val="001D3D78"/>
    <w:rsid w:val="001D6527"/>
    <w:rsid w:val="001E0448"/>
    <w:rsid w:val="001E0CEE"/>
    <w:rsid w:val="001E14AF"/>
    <w:rsid w:val="001E455A"/>
    <w:rsid w:val="001E5DC9"/>
    <w:rsid w:val="001E7F62"/>
    <w:rsid w:val="001F12E6"/>
    <w:rsid w:val="00202961"/>
    <w:rsid w:val="00203136"/>
    <w:rsid w:val="00204515"/>
    <w:rsid w:val="00213C82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74196"/>
    <w:rsid w:val="00294EE9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21D85"/>
    <w:rsid w:val="003368B0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34CD9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91F5D"/>
    <w:rsid w:val="0049238B"/>
    <w:rsid w:val="00494355"/>
    <w:rsid w:val="004948FE"/>
    <w:rsid w:val="004A1B3D"/>
    <w:rsid w:val="004A2D09"/>
    <w:rsid w:val="004A328B"/>
    <w:rsid w:val="004A6CEF"/>
    <w:rsid w:val="004B4CB0"/>
    <w:rsid w:val="004B54CC"/>
    <w:rsid w:val="004C1160"/>
    <w:rsid w:val="004C471A"/>
    <w:rsid w:val="004C74A6"/>
    <w:rsid w:val="004D7B90"/>
    <w:rsid w:val="004E26CF"/>
    <w:rsid w:val="004E674B"/>
    <w:rsid w:val="004F7FC9"/>
    <w:rsid w:val="0050603B"/>
    <w:rsid w:val="00520FD2"/>
    <w:rsid w:val="005246A9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A5B69"/>
    <w:rsid w:val="005B0C06"/>
    <w:rsid w:val="005B3382"/>
    <w:rsid w:val="005B3AF2"/>
    <w:rsid w:val="005C17E8"/>
    <w:rsid w:val="005D3EDC"/>
    <w:rsid w:val="005D4471"/>
    <w:rsid w:val="005E738B"/>
    <w:rsid w:val="005F0914"/>
    <w:rsid w:val="005F33DE"/>
    <w:rsid w:val="005F3405"/>
    <w:rsid w:val="005F3BA1"/>
    <w:rsid w:val="005F3F08"/>
    <w:rsid w:val="006034A1"/>
    <w:rsid w:val="0061052B"/>
    <w:rsid w:val="00620F02"/>
    <w:rsid w:val="00623B38"/>
    <w:rsid w:val="00625B9C"/>
    <w:rsid w:val="006260E2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20D9"/>
    <w:rsid w:val="006B4E70"/>
    <w:rsid w:val="006B57BE"/>
    <w:rsid w:val="006C0985"/>
    <w:rsid w:val="006C0E0F"/>
    <w:rsid w:val="006C0EAC"/>
    <w:rsid w:val="006D0110"/>
    <w:rsid w:val="006D28E7"/>
    <w:rsid w:val="006D6929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5F0C"/>
    <w:rsid w:val="00777913"/>
    <w:rsid w:val="00782810"/>
    <w:rsid w:val="0079009D"/>
    <w:rsid w:val="007910DC"/>
    <w:rsid w:val="007A00E4"/>
    <w:rsid w:val="007A4137"/>
    <w:rsid w:val="007A7379"/>
    <w:rsid w:val="007B0790"/>
    <w:rsid w:val="007B1E9F"/>
    <w:rsid w:val="007B5B49"/>
    <w:rsid w:val="007C44F3"/>
    <w:rsid w:val="007C51E4"/>
    <w:rsid w:val="007C7887"/>
    <w:rsid w:val="007E22F8"/>
    <w:rsid w:val="007E2360"/>
    <w:rsid w:val="007E25EC"/>
    <w:rsid w:val="007F3FA4"/>
    <w:rsid w:val="007F47F2"/>
    <w:rsid w:val="00800DE4"/>
    <w:rsid w:val="008020B8"/>
    <w:rsid w:val="00810B9A"/>
    <w:rsid w:val="00812DB5"/>
    <w:rsid w:val="00812F33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C5055"/>
    <w:rsid w:val="008D5BE0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2E44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DA1"/>
    <w:rsid w:val="00960E8E"/>
    <w:rsid w:val="009633CB"/>
    <w:rsid w:val="00965D9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B3AF0"/>
    <w:rsid w:val="009C0BF0"/>
    <w:rsid w:val="009C2458"/>
    <w:rsid w:val="009C71EB"/>
    <w:rsid w:val="009D4D05"/>
    <w:rsid w:val="009D6790"/>
    <w:rsid w:val="009D79CD"/>
    <w:rsid w:val="009E0EF1"/>
    <w:rsid w:val="009F7EF6"/>
    <w:rsid w:val="00A131D3"/>
    <w:rsid w:val="00A138E1"/>
    <w:rsid w:val="00A2193D"/>
    <w:rsid w:val="00A2664F"/>
    <w:rsid w:val="00A5286F"/>
    <w:rsid w:val="00A5629C"/>
    <w:rsid w:val="00A56444"/>
    <w:rsid w:val="00A6175C"/>
    <w:rsid w:val="00A61EC4"/>
    <w:rsid w:val="00A62CB3"/>
    <w:rsid w:val="00A63570"/>
    <w:rsid w:val="00A70128"/>
    <w:rsid w:val="00A813E5"/>
    <w:rsid w:val="00A81C45"/>
    <w:rsid w:val="00A85A36"/>
    <w:rsid w:val="00A95929"/>
    <w:rsid w:val="00A96A13"/>
    <w:rsid w:val="00A97BBC"/>
    <w:rsid w:val="00AA119E"/>
    <w:rsid w:val="00AA6CFE"/>
    <w:rsid w:val="00AA6E78"/>
    <w:rsid w:val="00AB1253"/>
    <w:rsid w:val="00AC15C0"/>
    <w:rsid w:val="00AC48D2"/>
    <w:rsid w:val="00AC7AEF"/>
    <w:rsid w:val="00AD6540"/>
    <w:rsid w:val="00AE258C"/>
    <w:rsid w:val="00AE38E7"/>
    <w:rsid w:val="00AE541C"/>
    <w:rsid w:val="00AE568A"/>
    <w:rsid w:val="00AE7212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3E66"/>
    <w:rsid w:val="00B37B5D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39CF"/>
    <w:rsid w:val="00B85148"/>
    <w:rsid w:val="00B8699D"/>
    <w:rsid w:val="00B86C8E"/>
    <w:rsid w:val="00B86EF6"/>
    <w:rsid w:val="00B91073"/>
    <w:rsid w:val="00B92CA5"/>
    <w:rsid w:val="00BA7AEA"/>
    <w:rsid w:val="00BB0316"/>
    <w:rsid w:val="00BB79B8"/>
    <w:rsid w:val="00BC1E36"/>
    <w:rsid w:val="00BE2115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A7299"/>
    <w:rsid w:val="00CB1252"/>
    <w:rsid w:val="00CB2801"/>
    <w:rsid w:val="00CB3BE6"/>
    <w:rsid w:val="00CB5506"/>
    <w:rsid w:val="00CC32FF"/>
    <w:rsid w:val="00CC3E19"/>
    <w:rsid w:val="00CD0E8D"/>
    <w:rsid w:val="00CD2F2F"/>
    <w:rsid w:val="00CD31B2"/>
    <w:rsid w:val="00CD4D1D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B1521"/>
    <w:rsid w:val="00DC2FEE"/>
    <w:rsid w:val="00DC489A"/>
    <w:rsid w:val="00DC707E"/>
    <w:rsid w:val="00DD258A"/>
    <w:rsid w:val="00DD2D90"/>
    <w:rsid w:val="00DD49E8"/>
    <w:rsid w:val="00DD6C5D"/>
    <w:rsid w:val="00DE5148"/>
    <w:rsid w:val="00DF0816"/>
    <w:rsid w:val="00DF5F4E"/>
    <w:rsid w:val="00DF7398"/>
    <w:rsid w:val="00E031A6"/>
    <w:rsid w:val="00E06EAA"/>
    <w:rsid w:val="00E100FC"/>
    <w:rsid w:val="00E141EF"/>
    <w:rsid w:val="00E14D44"/>
    <w:rsid w:val="00E262A9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15F1A"/>
    <w:rsid w:val="00F21508"/>
    <w:rsid w:val="00F313F7"/>
    <w:rsid w:val="00F34840"/>
    <w:rsid w:val="00F34C71"/>
    <w:rsid w:val="00F4032D"/>
    <w:rsid w:val="00F41A5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87F30"/>
    <w:rsid w:val="00F933F0"/>
    <w:rsid w:val="00F965EA"/>
    <w:rsid w:val="00F978F8"/>
    <w:rsid w:val="00FA38FE"/>
    <w:rsid w:val="00FA5AAD"/>
    <w:rsid w:val="00FB7170"/>
    <w:rsid w:val="00FB7B1C"/>
    <w:rsid w:val="00FC7402"/>
    <w:rsid w:val="00FD2964"/>
    <w:rsid w:val="00FD3865"/>
    <w:rsid w:val="00FD5390"/>
    <w:rsid w:val="00FD5ABE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379CC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C528-B00B-4463-AB9F-131BA824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2021-04-21T14:12:00Z</cp:lastPrinted>
  <dcterms:created xsi:type="dcterms:W3CDTF">2024-07-30T12:25:00Z</dcterms:created>
  <dcterms:modified xsi:type="dcterms:W3CDTF">2024-07-30T12:25:00Z</dcterms:modified>
</cp:coreProperties>
</file>