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ED4048" w:rsidRPr="009507D0" w:rsidRDefault="00ED4048" w:rsidP="00983C10">
      <w:pPr>
        <w:rPr>
          <w:sz w:val="32"/>
          <w:szCs w:val="32"/>
        </w:rPr>
      </w:pPr>
    </w:p>
    <w:p w:rsidR="00ED4048" w:rsidRPr="009507D0" w:rsidRDefault="00ED4048" w:rsidP="00B20E10">
      <w:pPr>
        <w:jc w:val="center"/>
        <w:rPr>
          <w:sz w:val="32"/>
          <w:szCs w:val="32"/>
        </w:rPr>
      </w:pPr>
    </w:p>
    <w:p w:rsidR="00ED4048" w:rsidRPr="00D52372" w:rsidRDefault="00ED4048" w:rsidP="00B20E10">
      <w:pPr>
        <w:jc w:val="center"/>
        <w:rPr>
          <w:sz w:val="28"/>
          <w:szCs w:val="28"/>
        </w:rPr>
      </w:pPr>
      <w:r w:rsidRPr="00D52372">
        <w:rPr>
          <w:sz w:val="28"/>
          <w:szCs w:val="28"/>
        </w:rPr>
        <w:t>ПОСТАНОВЛЕНИЕ</w:t>
      </w:r>
    </w:p>
    <w:p w:rsidR="00ED4048" w:rsidRPr="00B20E10" w:rsidRDefault="00ED4048" w:rsidP="00B20E10">
      <w:pPr>
        <w:jc w:val="center"/>
        <w:rPr>
          <w:b/>
          <w:sz w:val="28"/>
          <w:szCs w:val="28"/>
        </w:rPr>
      </w:pPr>
    </w:p>
    <w:p w:rsidR="00ED4048" w:rsidRPr="00D52372" w:rsidRDefault="00F47460" w:rsidP="00B20E1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31.1</w:t>
      </w:r>
      <w:r w:rsidR="00ED4048">
        <w:rPr>
          <w:sz w:val="28"/>
          <w:szCs w:val="28"/>
        </w:rPr>
        <w:t>0.2022</w:t>
      </w:r>
      <w:r>
        <w:rPr>
          <w:sz w:val="28"/>
          <w:szCs w:val="28"/>
        </w:rPr>
        <w:t xml:space="preserve"> </w:t>
      </w:r>
      <w:r w:rsidR="00ED4048" w:rsidRPr="00D5237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ED4048" w:rsidRPr="00D52372">
        <w:rPr>
          <w:sz w:val="28"/>
          <w:szCs w:val="28"/>
        </w:rPr>
        <w:t xml:space="preserve">  № </w:t>
      </w:r>
      <w:r>
        <w:rPr>
          <w:sz w:val="28"/>
          <w:szCs w:val="28"/>
        </w:rPr>
        <w:t>29</w:t>
      </w:r>
    </w:p>
    <w:p w:rsidR="00ED4048" w:rsidRPr="00D52372" w:rsidRDefault="00CC613F" w:rsidP="00B20E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ED4048" w:rsidRPr="00D52372">
        <w:rPr>
          <w:sz w:val="28"/>
          <w:szCs w:val="28"/>
        </w:rPr>
        <w:t>п</w:t>
      </w:r>
      <w:proofErr w:type="spellEnd"/>
      <w:r w:rsidR="00ED4048" w:rsidRPr="00D52372">
        <w:rPr>
          <w:sz w:val="28"/>
          <w:szCs w:val="28"/>
        </w:rPr>
        <w:t>. Алтухово</w:t>
      </w:r>
    </w:p>
    <w:p w:rsidR="00ED4048" w:rsidRPr="00D52372" w:rsidRDefault="00ED4048" w:rsidP="00B20E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Об утверждении Программы профилактики рисков 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причинения вреда (ущерба) </w:t>
      </w:r>
      <w:proofErr w:type="gramStart"/>
      <w:r w:rsidRPr="00D52372">
        <w:rPr>
          <w:sz w:val="28"/>
          <w:szCs w:val="28"/>
        </w:rPr>
        <w:t>охраняемых</w:t>
      </w:r>
      <w:proofErr w:type="gramEnd"/>
      <w:r w:rsidRPr="00D52372">
        <w:rPr>
          <w:sz w:val="28"/>
          <w:szCs w:val="28"/>
        </w:rPr>
        <w:t xml:space="preserve"> законом </w:t>
      </w:r>
    </w:p>
    <w:p w:rsidR="00ED4048" w:rsidRPr="00D52372" w:rsidRDefault="00ED4048" w:rsidP="00AE3657">
      <w:pPr>
        <w:rPr>
          <w:color w:val="010101"/>
          <w:sz w:val="28"/>
          <w:szCs w:val="28"/>
        </w:rPr>
      </w:pPr>
      <w:r w:rsidRPr="00D52372">
        <w:rPr>
          <w:sz w:val="28"/>
          <w:szCs w:val="28"/>
        </w:rPr>
        <w:t xml:space="preserve">ценностям в </w:t>
      </w:r>
      <w:r w:rsidRPr="00D52372">
        <w:rPr>
          <w:color w:val="010101"/>
          <w:sz w:val="28"/>
          <w:szCs w:val="28"/>
        </w:rPr>
        <w:t xml:space="preserve">рамках </w:t>
      </w:r>
      <w:proofErr w:type="gramStart"/>
      <w:r w:rsidRPr="00D52372">
        <w:rPr>
          <w:color w:val="010101"/>
          <w:sz w:val="28"/>
          <w:szCs w:val="28"/>
        </w:rPr>
        <w:t>муниципального</w:t>
      </w:r>
      <w:proofErr w:type="gramEnd"/>
      <w:r w:rsidRPr="00D52372">
        <w:rPr>
          <w:color w:val="010101"/>
          <w:sz w:val="28"/>
          <w:szCs w:val="28"/>
        </w:rPr>
        <w:t xml:space="preserve"> земельного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color w:val="010101"/>
          <w:sz w:val="28"/>
          <w:szCs w:val="28"/>
        </w:rPr>
        <w:t xml:space="preserve">контроля в границах </w:t>
      </w:r>
      <w:proofErr w:type="spellStart"/>
      <w:r w:rsidRPr="00D52372">
        <w:rPr>
          <w:sz w:val="28"/>
          <w:szCs w:val="28"/>
        </w:rPr>
        <w:t>Алтуховского</w:t>
      </w:r>
      <w:proofErr w:type="spellEnd"/>
      <w:r w:rsidRPr="00D52372">
        <w:rPr>
          <w:sz w:val="28"/>
          <w:szCs w:val="28"/>
        </w:rPr>
        <w:t xml:space="preserve"> городского</w:t>
      </w:r>
    </w:p>
    <w:p w:rsidR="00ED4048" w:rsidRPr="00D52372" w:rsidRDefault="00ED4048" w:rsidP="00AE3657">
      <w:pPr>
        <w:rPr>
          <w:sz w:val="28"/>
          <w:szCs w:val="28"/>
        </w:rPr>
      </w:pPr>
      <w:r>
        <w:rPr>
          <w:sz w:val="28"/>
          <w:szCs w:val="28"/>
        </w:rPr>
        <w:t>поселения на 2023</w:t>
      </w:r>
      <w:r w:rsidRPr="00D52372">
        <w:rPr>
          <w:sz w:val="28"/>
          <w:szCs w:val="28"/>
        </w:rPr>
        <w:t xml:space="preserve"> год</w:t>
      </w:r>
    </w:p>
    <w:p w:rsidR="00ED4048" w:rsidRPr="00D52372" w:rsidRDefault="00ED4048" w:rsidP="00B20E10">
      <w:pPr>
        <w:rPr>
          <w:sz w:val="28"/>
          <w:szCs w:val="28"/>
        </w:rPr>
      </w:pPr>
    </w:p>
    <w:p w:rsidR="00ED4048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D52372">
        <w:rPr>
          <w:sz w:val="28"/>
          <w:szCs w:val="28"/>
        </w:rPr>
        <w:t>Алтуховского</w:t>
      </w:r>
      <w:proofErr w:type="spellEnd"/>
      <w:r w:rsidRPr="00D52372">
        <w:rPr>
          <w:sz w:val="28"/>
          <w:szCs w:val="28"/>
        </w:rPr>
        <w:t xml:space="preserve"> городского поселения</w:t>
      </w:r>
    </w:p>
    <w:p w:rsidR="00ED4048" w:rsidRPr="00B20E10" w:rsidRDefault="00ED4048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20E10">
        <w:rPr>
          <w:rFonts w:cs="Calibri"/>
          <w:sz w:val="28"/>
          <w:szCs w:val="28"/>
        </w:rPr>
        <w:t>ПОСТАНОВЛЯЮ:</w:t>
      </w:r>
    </w:p>
    <w:p w:rsidR="00ED4048" w:rsidRPr="00B20E10" w:rsidRDefault="00ED4048" w:rsidP="00B20E10">
      <w:pPr>
        <w:tabs>
          <w:tab w:val="num" w:pos="928"/>
        </w:tabs>
        <w:jc w:val="both"/>
        <w:rPr>
          <w:bCs/>
        </w:rPr>
      </w:pPr>
    </w:p>
    <w:p w:rsidR="00ED4048" w:rsidRPr="00D52372" w:rsidRDefault="00ED4048" w:rsidP="00B20E10">
      <w:pPr>
        <w:tabs>
          <w:tab w:val="left" w:pos="567"/>
        </w:tabs>
        <w:jc w:val="both"/>
        <w:rPr>
          <w:sz w:val="28"/>
          <w:szCs w:val="28"/>
        </w:rPr>
      </w:pPr>
      <w:r w:rsidRPr="00B20E10">
        <w:rPr>
          <w:bCs/>
        </w:rPr>
        <w:t xml:space="preserve">        </w:t>
      </w:r>
      <w:r w:rsidRPr="00D52372">
        <w:rPr>
          <w:bCs/>
          <w:sz w:val="28"/>
          <w:szCs w:val="28"/>
        </w:rPr>
        <w:t xml:space="preserve">1.Утвердить </w:t>
      </w:r>
      <w:r w:rsidRPr="00D52372">
        <w:rPr>
          <w:sz w:val="28"/>
          <w:szCs w:val="28"/>
        </w:rPr>
        <w:t xml:space="preserve">Программу профилактики рисков причинения вреда (ущерба) охраняемых законом ценностям </w:t>
      </w:r>
      <w:r w:rsidRPr="00D52372">
        <w:rPr>
          <w:color w:val="010101"/>
          <w:sz w:val="28"/>
          <w:szCs w:val="28"/>
        </w:rPr>
        <w:t xml:space="preserve">в рамках муниципального земельного </w:t>
      </w:r>
      <w:r w:rsidRPr="00D52372">
        <w:rPr>
          <w:sz w:val="28"/>
          <w:szCs w:val="28"/>
        </w:rPr>
        <w:t xml:space="preserve">контроля  в границах </w:t>
      </w:r>
      <w:proofErr w:type="spellStart"/>
      <w:r w:rsidRPr="00D52372">
        <w:rPr>
          <w:sz w:val="28"/>
          <w:szCs w:val="28"/>
        </w:rPr>
        <w:t>Алтуховск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городского поселения на 2023</w:t>
      </w:r>
      <w:r w:rsidRPr="00D52372">
        <w:rPr>
          <w:sz w:val="28"/>
          <w:szCs w:val="28"/>
        </w:rPr>
        <w:t xml:space="preserve"> год (Приложение) </w:t>
      </w:r>
    </w:p>
    <w:p w:rsidR="00ED4048" w:rsidRDefault="00ED4048" w:rsidP="00980ABE">
      <w:pPr>
        <w:tabs>
          <w:tab w:val="left" w:pos="1418"/>
        </w:tabs>
        <w:jc w:val="both"/>
      </w:pPr>
      <w:r>
        <w:rPr>
          <w:bCs/>
          <w:sz w:val="28"/>
          <w:szCs w:val="28"/>
        </w:rPr>
        <w:t xml:space="preserve">       </w:t>
      </w:r>
      <w:r w:rsidRPr="00D52372">
        <w:rPr>
          <w:bCs/>
          <w:sz w:val="28"/>
          <w:szCs w:val="28"/>
        </w:rPr>
        <w:t xml:space="preserve">2. 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ED4048" w:rsidRPr="00D52372" w:rsidRDefault="00ED4048" w:rsidP="00980ABE">
      <w:pPr>
        <w:tabs>
          <w:tab w:val="num" w:pos="928"/>
        </w:tabs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ED4048" w:rsidRPr="00D52372" w:rsidRDefault="00ED4048" w:rsidP="00B20E10">
      <w:pPr>
        <w:ind w:firstLine="540"/>
        <w:jc w:val="both"/>
        <w:rPr>
          <w:sz w:val="28"/>
          <w:szCs w:val="28"/>
        </w:rPr>
      </w:pPr>
    </w:p>
    <w:p w:rsidR="00ED4048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Глава </w:t>
      </w:r>
      <w:proofErr w:type="spellStart"/>
      <w:r w:rsidRPr="00D52372">
        <w:rPr>
          <w:sz w:val="28"/>
          <w:szCs w:val="28"/>
        </w:rPr>
        <w:t>Алтуховской</w:t>
      </w:r>
      <w:proofErr w:type="spellEnd"/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поселковой администрации                                         </w:t>
      </w:r>
      <w:r>
        <w:rPr>
          <w:sz w:val="28"/>
          <w:szCs w:val="28"/>
        </w:rPr>
        <w:t xml:space="preserve">       </w:t>
      </w:r>
      <w:r w:rsidRPr="00D52372">
        <w:rPr>
          <w:sz w:val="28"/>
          <w:szCs w:val="28"/>
        </w:rPr>
        <w:t xml:space="preserve">Н.А. </w:t>
      </w:r>
      <w:proofErr w:type="spellStart"/>
      <w:r w:rsidRPr="00D52372">
        <w:rPr>
          <w:sz w:val="28"/>
          <w:szCs w:val="28"/>
        </w:rPr>
        <w:t>Лапонов</w:t>
      </w:r>
      <w:proofErr w:type="spellEnd"/>
    </w:p>
    <w:p w:rsidR="00ED4048" w:rsidRPr="00D52372" w:rsidRDefault="00ED4048" w:rsidP="00B20E10">
      <w:pPr>
        <w:jc w:val="both"/>
        <w:rPr>
          <w:sz w:val="28"/>
          <w:szCs w:val="28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Pr="00B20E10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bCs/>
          <w:lang w:eastAsia="zh-CN"/>
        </w:rPr>
      </w:pPr>
      <w:r w:rsidRPr="00B20E10">
        <w:rPr>
          <w:bCs/>
          <w:lang w:eastAsia="zh-CN"/>
        </w:rPr>
        <w:t>Приложение</w:t>
      </w:r>
    </w:p>
    <w:p w:rsidR="00ED4048" w:rsidRPr="00B20E10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         утверждено постановлением </w:t>
      </w:r>
      <w:proofErr w:type="spellStart"/>
      <w:r>
        <w:rPr>
          <w:bCs/>
        </w:rPr>
        <w:t>Алтуховской</w:t>
      </w:r>
      <w:proofErr w:type="spellEnd"/>
    </w:p>
    <w:p w:rsidR="00ED4048" w:rsidRPr="00B20E10" w:rsidRDefault="00ED4048" w:rsidP="00B20E10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</w:t>
      </w:r>
      <w:r>
        <w:rPr>
          <w:bCs/>
        </w:rPr>
        <w:t>поселковой администрации</w:t>
      </w:r>
    </w:p>
    <w:p w:rsidR="00ED4048" w:rsidRPr="00B20E10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                           от </w:t>
      </w:r>
      <w:r w:rsidR="00F47460">
        <w:rPr>
          <w:bCs/>
        </w:rPr>
        <w:t>31</w:t>
      </w:r>
      <w:r>
        <w:rPr>
          <w:bCs/>
        </w:rPr>
        <w:t>.</w:t>
      </w:r>
      <w:r w:rsidR="00F47460">
        <w:rPr>
          <w:bCs/>
        </w:rPr>
        <w:t>1</w:t>
      </w:r>
      <w:r>
        <w:rPr>
          <w:bCs/>
        </w:rPr>
        <w:t>0.2022</w:t>
      </w:r>
      <w:r w:rsidR="008D3EB1">
        <w:rPr>
          <w:bCs/>
        </w:rPr>
        <w:t xml:space="preserve"> </w:t>
      </w:r>
      <w:bookmarkStart w:id="0" w:name="_GoBack"/>
      <w:bookmarkEnd w:id="0"/>
      <w:r w:rsidRPr="00B20E10">
        <w:rPr>
          <w:bCs/>
        </w:rPr>
        <w:t>г. №</w:t>
      </w:r>
      <w:r>
        <w:rPr>
          <w:bCs/>
        </w:rPr>
        <w:t xml:space="preserve"> </w:t>
      </w:r>
      <w:r w:rsidR="00F47460">
        <w:rPr>
          <w:bCs/>
        </w:rPr>
        <w:t>29</w:t>
      </w: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Pr="00E41152" w:rsidRDefault="00ED4048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r w:rsidRPr="00EA5E21">
        <w:rPr>
          <w:b/>
          <w:sz w:val="28"/>
          <w:szCs w:val="28"/>
        </w:rPr>
        <w:t>земельного</w:t>
      </w:r>
      <w:r>
        <w:rPr>
          <w:b/>
          <w:sz w:val="28"/>
          <w:szCs w:val="28"/>
        </w:rPr>
        <w:t xml:space="preserve"> контроля в границах </w:t>
      </w:r>
      <w:proofErr w:type="spellStart"/>
      <w:r>
        <w:rPr>
          <w:b/>
          <w:sz w:val="28"/>
          <w:szCs w:val="28"/>
        </w:rPr>
        <w:t>Алтухов</w:t>
      </w:r>
      <w:r w:rsidRPr="00EA5E21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городского поселения на 2023 </w:t>
      </w:r>
      <w:r w:rsidRPr="00E41152">
        <w:rPr>
          <w:b/>
          <w:sz w:val="28"/>
          <w:szCs w:val="28"/>
        </w:rPr>
        <w:t>год</w:t>
      </w:r>
    </w:p>
    <w:p w:rsidR="00ED4048" w:rsidRDefault="00ED4048" w:rsidP="00190EFF">
      <w:pPr>
        <w:rPr>
          <w:sz w:val="28"/>
          <w:szCs w:val="28"/>
        </w:rPr>
      </w:pPr>
    </w:p>
    <w:p w:rsidR="00ED4048" w:rsidRPr="005B11E3" w:rsidRDefault="00ED4048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>Общие положения </w:t>
      </w:r>
    </w:p>
    <w:p w:rsidR="00ED4048" w:rsidRDefault="00ED4048" w:rsidP="00D0695D">
      <w:pPr>
        <w:shd w:val="clear" w:color="auto" w:fill="FFFFFF"/>
        <w:ind w:firstLine="708"/>
        <w:jc w:val="both"/>
        <w:rPr>
          <w:color w:val="010101"/>
        </w:rPr>
      </w:pPr>
      <w:proofErr w:type="gramStart"/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земельного </w:t>
      </w:r>
      <w:r w:rsidRPr="004658A6">
        <w:t xml:space="preserve">контроля  </w:t>
      </w:r>
      <w:r>
        <w:t xml:space="preserve">в границах </w:t>
      </w:r>
      <w:proofErr w:type="spellStart"/>
      <w:r>
        <w:t>Алтуховского</w:t>
      </w:r>
      <w:proofErr w:type="spellEnd"/>
      <w:r>
        <w:t xml:space="preserve"> городского поселения на 2023 </w:t>
      </w:r>
      <w:r w:rsidRPr="004658A6">
        <w:t>год</w:t>
      </w:r>
      <w:r>
        <w:rPr>
          <w:color w:val="010101"/>
        </w:rPr>
        <w:t xml:space="preserve"> (далее–Программа) разработана в соответствии со ст.44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</w:t>
      </w:r>
      <w:proofErr w:type="gramEnd"/>
      <w:r>
        <w:rPr>
          <w:color w:val="010101"/>
        </w:rPr>
        <w:t xml:space="preserve"> профилактики рисков причинения вреда (ущерба) охраняемым законом ценностям».</w:t>
      </w:r>
    </w:p>
    <w:p w:rsidR="00ED4048" w:rsidRDefault="00ED4048" w:rsidP="00A5176D">
      <w:pPr>
        <w:shd w:val="clear" w:color="auto" w:fill="FFFFFF"/>
        <w:tabs>
          <w:tab w:val="left" w:pos="567"/>
        </w:tabs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4048" w:rsidRPr="005B11E3" w:rsidRDefault="00ED4048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ED4048" w:rsidRDefault="00ED4048" w:rsidP="00D0695D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Муниципальный земельный контроль </w:t>
      </w:r>
      <w:r>
        <w:t xml:space="preserve">в границах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 </w:t>
      </w:r>
      <w:r>
        <w:rPr>
          <w:color w:val="010101"/>
        </w:rPr>
        <w:t xml:space="preserve">осуществляется </w:t>
      </w:r>
      <w:proofErr w:type="spellStart"/>
      <w:r>
        <w:rPr>
          <w:color w:val="010101"/>
        </w:rPr>
        <w:t>Алтуховской</w:t>
      </w:r>
      <w:proofErr w:type="spellEnd"/>
      <w:r>
        <w:rPr>
          <w:color w:val="010101"/>
        </w:rPr>
        <w:t xml:space="preserve"> поселковой администрацией (далее - Администрация).</w:t>
      </w:r>
    </w:p>
    <w:p w:rsidR="00ED4048" w:rsidRPr="00FA5F04" w:rsidRDefault="00ED4048" w:rsidP="00D0695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контроля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D4048" w:rsidRPr="00F27B08" w:rsidRDefault="00ED4048" w:rsidP="0042204D">
      <w:pPr>
        <w:suppressAutoHyphens/>
        <w:autoSpaceDE w:val="0"/>
        <w:ind w:right="-29"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 xml:space="preserve">1) о недопущении </w:t>
      </w:r>
      <w:r>
        <w:rPr>
          <w:color w:val="000000"/>
          <w:lang w:eastAsia="zh-CN"/>
        </w:rPr>
        <w:t xml:space="preserve">самовольного занятия земель, </w:t>
      </w:r>
      <w:r w:rsidRPr="00F27B08">
        <w:rPr>
          <w:color w:val="000000"/>
          <w:lang w:eastAsia="zh-CN"/>
        </w:rPr>
        <w:t>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4) связанных с обязанностью по приведению земель в состояние, пригодное для использования по целевому назначению;</w:t>
      </w:r>
    </w:p>
    <w:p w:rsidR="00ED4048" w:rsidRDefault="00ED4048" w:rsidP="00F27B08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F27B08">
        <w:rPr>
          <w:color w:val="000000"/>
          <w:lang w:eastAsia="zh-CN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</w:p>
    <w:p w:rsidR="00ED4048" w:rsidRDefault="00ED4048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D4048" w:rsidRPr="00191CB0" w:rsidRDefault="00ED4048" w:rsidP="00A121FA">
      <w:pPr>
        <w:shd w:val="clear" w:color="auto" w:fill="FFFFFF"/>
        <w:jc w:val="both"/>
        <w:rPr>
          <w:rFonts w:ascii="YS Text" w:hAnsi="YS Text"/>
          <w:sz w:val="23"/>
          <w:szCs w:val="23"/>
        </w:rPr>
      </w:pPr>
      <w:r w:rsidRPr="006B237F">
        <w:rPr>
          <w:color w:val="FF0000"/>
          <w:shd w:val="clear" w:color="auto" w:fill="FFFFFF"/>
        </w:rPr>
        <w:t xml:space="preserve">         </w:t>
      </w:r>
      <w:r w:rsidRPr="00191CB0">
        <w:rPr>
          <w:shd w:val="clear" w:color="auto" w:fill="FFFFFF"/>
        </w:rPr>
        <w:t xml:space="preserve">Администрацией за </w:t>
      </w:r>
      <w:r w:rsidRPr="00191CB0">
        <w:rPr>
          <w:rFonts w:ascii="YS Text" w:hAnsi="YS Text"/>
          <w:sz w:val="23"/>
          <w:szCs w:val="23"/>
        </w:rPr>
        <w:t xml:space="preserve"> 9 месяцев 202</w:t>
      </w:r>
      <w:r w:rsidRPr="00191CB0">
        <w:rPr>
          <w:sz w:val="23"/>
          <w:szCs w:val="23"/>
        </w:rPr>
        <w:t>2</w:t>
      </w:r>
      <w:r w:rsidRPr="00191CB0">
        <w:rPr>
          <w:rFonts w:ascii="YS Text" w:hAnsi="YS Text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ED4048" w:rsidRDefault="00ED4048" w:rsidP="00FA29E6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ED4048" w:rsidRDefault="00ED4048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ED4048" w:rsidRDefault="00ED4048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ED4048" w:rsidRDefault="00ED4048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D4048" w:rsidRPr="00191CB0" w:rsidRDefault="00ED4048" w:rsidP="000D08F5">
      <w:pPr>
        <w:ind w:firstLine="708"/>
        <w:jc w:val="both"/>
      </w:pPr>
      <w:r w:rsidRPr="00191CB0"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ED4048" w:rsidRPr="00FA29E6" w:rsidRDefault="00ED4048" w:rsidP="000D08F5">
      <w:pPr>
        <w:ind w:firstLine="708"/>
        <w:jc w:val="both"/>
        <w:rPr>
          <w:color w:val="FF0000"/>
        </w:rPr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земельного </w:t>
      </w:r>
      <w:r>
        <w:t xml:space="preserve">контроля в границах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 </w:t>
      </w:r>
      <w:r>
        <w:t>на 2022</w:t>
      </w:r>
      <w:r w:rsidRPr="00191CB0">
        <w:t xml:space="preserve"> год  не утверждался.</w:t>
      </w:r>
    </w:p>
    <w:p w:rsidR="00ED4048" w:rsidRDefault="00ED4048" w:rsidP="00EB76AB">
      <w:pPr>
        <w:jc w:val="both"/>
      </w:pPr>
      <w:r>
        <w:tab/>
      </w:r>
    </w:p>
    <w:p w:rsidR="00ED4048" w:rsidRDefault="00ED4048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D4048" w:rsidRDefault="00ED4048" w:rsidP="001105CB">
      <w:pPr>
        <w:tabs>
          <w:tab w:val="left" w:pos="1350"/>
        </w:tabs>
        <w:jc w:val="both"/>
      </w:pPr>
    </w:p>
    <w:p w:rsidR="00ED4048" w:rsidRDefault="00ED4048" w:rsidP="00D0695D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4048" w:rsidRPr="001105CB" w:rsidRDefault="00ED4048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4048" w:rsidRPr="001105CB" w:rsidRDefault="00ED4048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ED4048" w:rsidRPr="001105CB" w:rsidRDefault="00ED4048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ED4048" w:rsidRPr="001105CB" w:rsidRDefault="00ED4048" w:rsidP="00D0695D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4048" w:rsidRPr="001105CB" w:rsidRDefault="00ED4048" w:rsidP="00D0695D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D4048" w:rsidRPr="001105CB" w:rsidRDefault="00ED4048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D4048" w:rsidRDefault="00ED4048" w:rsidP="000D08F5">
      <w:pPr>
        <w:shd w:val="clear" w:color="auto" w:fill="FFFFFF"/>
        <w:rPr>
          <w:b/>
          <w:color w:val="000000"/>
        </w:rPr>
      </w:pP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D4048" w:rsidRPr="00EB76AB" w:rsidRDefault="00ED4048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37"/>
        <w:gridCol w:w="2808"/>
        <w:gridCol w:w="10"/>
        <w:gridCol w:w="2392"/>
      </w:tblGrid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№</w:t>
            </w:r>
          </w:p>
          <w:p w:rsidR="00ED4048" w:rsidRPr="00C90D07" w:rsidRDefault="00ED4048" w:rsidP="00EB76AB">
            <w:proofErr w:type="gramStart"/>
            <w:r w:rsidRPr="00C90D07">
              <w:rPr>
                <w:sz w:val="22"/>
                <w:szCs w:val="22"/>
              </w:rPr>
              <w:t>п</w:t>
            </w:r>
            <w:proofErr w:type="gramEnd"/>
            <w:r w:rsidRPr="00C90D07">
              <w:rPr>
                <w:sz w:val="22"/>
                <w:szCs w:val="22"/>
              </w:rPr>
              <w:t>/п</w:t>
            </w:r>
          </w:p>
        </w:tc>
        <w:tc>
          <w:tcPr>
            <w:tcW w:w="3537" w:type="dxa"/>
          </w:tcPr>
          <w:p w:rsidR="00ED4048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 xml:space="preserve">Наименование  </w:t>
            </w:r>
          </w:p>
          <w:p w:rsidR="00ED4048" w:rsidRPr="00C90D07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  <w:p w:rsidR="00ED4048" w:rsidRPr="00C90D07" w:rsidRDefault="00ED4048" w:rsidP="00EB76AB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both"/>
            </w:pPr>
            <w:r w:rsidRPr="00C90D0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Ответственное</w:t>
            </w:r>
          </w:p>
          <w:p w:rsidR="00ED4048" w:rsidRPr="00C90D07" w:rsidRDefault="00ED4048" w:rsidP="003C6CAF">
            <w:r w:rsidRPr="00C90D0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Информирование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BB7CDE">
            <w:pPr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ED4048" w:rsidRPr="00C90D07" w:rsidRDefault="00ED4048" w:rsidP="00CD15B0">
            <w:pPr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D07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C90D07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 xml:space="preserve"> и в иных формах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ED4048" w:rsidRPr="00C90D07" w:rsidRDefault="00ED4048" w:rsidP="00BB7CDE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Обобщение правоприменитель</w:t>
            </w:r>
            <w:r w:rsidRPr="00C90D07">
              <w:rPr>
                <w:color w:val="000000"/>
                <w:sz w:val="22"/>
                <w:szCs w:val="22"/>
              </w:rPr>
              <w:t>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Доклад о правоприменительной практике размещается в срок до 1 июля года, следующего за отчетным годом, на официальном сай</w:t>
            </w:r>
            <w:r>
              <w:rPr>
                <w:color w:val="000000"/>
                <w:sz w:val="22"/>
                <w:szCs w:val="22"/>
              </w:rPr>
              <w:t>те админис</w:t>
            </w:r>
            <w:r w:rsidRPr="00C90D07">
              <w:rPr>
                <w:color w:val="000000"/>
                <w:sz w:val="22"/>
                <w:szCs w:val="22"/>
              </w:rPr>
              <w:t>трации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3.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Объявление предостережений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Предостережение о недопустимости нарушения обязатель</w:t>
            </w:r>
            <w:r w:rsidRPr="00C90D07">
              <w:rPr>
                <w:color w:val="000000"/>
                <w:sz w:val="22"/>
                <w:szCs w:val="22"/>
              </w:rPr>
              <w:t>ных требований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объявляются контролируемому лицу в случае нал</w:t>
            </w:r>
            <w:r>
              <w:rPr>
                <w:color w:val="000000"/>
                <w:sz w:val="22"/>
                <w:szCs w:val="22"/>
              </w:rPr>
              <w:t>ичия у администрации сведений о готовящихся нарушениях обязатель</w:t>
            </w:r>
            <w:r w:rsidRPr="00C90D07">
              <w:rPr>
                <w:color w:val="000000"/>
                <w:sz w:val="22"/>
                <w:szCs w:val="22"/>
              </w:rPr>
              <w:t xml:space="preserve">ных требований 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C90D07">
              <w:rPr>
                <w:color w:val="000000"/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C90D07">
              <w:rPr>
                <w:color w:val="000000"/>
                <w:sz w:val="22"/>
                <w:szCs w:val="22"/>
              </w:rPr>
              <w:t xml:space="preserve"> Предостережения объявляются (подписываются) главой (заместителем главы)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  <w:r w:rsidRPr="00C90D07">
              <w:rPr>
                <w:color w:val="000000"/>
                <w:sz w:val="22"/>
                <w:szCs w:val="22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747" w:type="dxa"/>
            <w:gridSpan w:val="4"/>
            <w:tcBorders>
              <w:top w:val="nil"/>
            </w:tcBorders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Консультирование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мероприятий, а также на собраниях и конференциях граждан.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Консультирование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ляется в устной или письменной форме по следующим вопросам: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ление муниципального земельного контроля;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</w:t>
            </w:r>
            <w:r>
              <w:rPr>
                <w:color w:val="000000"/>
                <w:sz w:val="22"/>
                <w:szCs w:val="22"/>
                <w:lang w:eastAsia="zh-CN"/>
              </w:rPr>
              <w:t>полномоченных осуществлять муници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пальный земельный контроль;</w:t>
            </w:r>
          </w:p>
          <w:p w:rsidR="00ED4048" w:rsidRPr="00C90D07" w:rsidRDefault="00ED4048" w:rsidP="00C90D07">
            <w:pPr>
              <w:jc w:val="both"/>
            </w:pPr>
            <w:r w:rsidRPr="00C90D0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</w:t>
            </w:r>
            <w:r>
              <w:rPr>
                <w:color w:val="000000"/>
                <w:sz w:val="22"/>
                <w:szCs w:val="22"/>
              </w:rPr>
              <w:t>ьные требования, оценка соблюде</w:t>
            </w:r>
            <w:r w:rsidRPr="00C90D07">
              <w:rPr>
                <w:color w:val="000000"/>
                <w:sz w:val="22"/>
                <w:szCs w:val="22"/>
              </w:rPr>
              <w:t>ния которых осуществляется администрацией в рамках контрольных мероприятий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5.</w:t>
            </w:r>
          </w:p>
        </w:tc>
        <w:tc>
          <w:tcPr>
            <w:tcW w:w="3537" w:type="dxa"/>
            <w:tcBorders>
              <w:right w:val="nil"/>
            </w:tcBorders>
          </w:tcPr>
          <w:p w:rsidR="00ED4048" w:rsidRPr="00C90D07" w:rsidRDefault="00ED4048" w:rsidP="00C90D07">
            <w:pPr>
              <w:jc w:val="right"/>
            </w:pPr>
          </w:p>
        </w:tc>
        <w:tc>
          <w:tcPr>
            <w:tcW w:w="5210" w:type="dxa"/>
            <w:gridSpan w:val="3"/>
            <w:tcBorders>
              <w:left w:val="nil"/>
            </w:tcBorders>
          </w:tcPr>
          <w:p w:rsidR="00ED4048" w:rsidRPr="00C90D07" w:rsidRDefault="00ED4048" w:rsidP="002F71B5">
            <w:r w:rsidRPr="00C90D07">
              <w:rPr>
                <w:sz w:val="22"/>
                <w:szCs w:val="22"/>
              </w:rPr>
              <w:t>Профилактический визит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ind w:right="-108"/>
              <w:jc w:val="both"/>
            </w:pPr>
            <w:r w:rsidRPr="00C90D07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90D07">
              <w:rPr>
                <w:sz w:val="22"/>
                <w:szCs w:val="22"/>
              </w:rPr>
              <w:t>ности контролируемого лица, либо путем использования видео-конференц-связи</w:t>
            </w:r>
            <w:r w:rsidRPr="00C90D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0D07">
              <w:rPr>
                <w:sz w:val="28"/>
                <w:szCs w:val="28"/>
              </w:rPr>
              <w:t>П</w:t>
            </w:r>
            <w:r w:rsidRPr="00C90D07">
              <w:rPr>
                <w:sz w:val="22"/>
                <w:szCs w:val="22"/>
              </w:rPr>
              <w:t>ри проведении профилактического визита контролируемым лицам не выдаются предписа</w:t>
            </w:r>
            <w:r>
              <w:rPr>
                <w:sz w:val="22"/>
                <w:szCs w:val="22"/>
              </w:rPr>
              <w:t>ния об устранении нарушений обязательных требований. Разъяснения, полученные контроли</w:t>
            </w:r>
            <w:r w:rsidRPr="00C90D07">
              <w:rPr>
                <w:sz w:val="22"/>
                <w:szCs w:val="22"/>
              </w:rPr>
              <w:t>руемым лицом в ход</w:t>
            </w:r>
            <w:r>
              <w:rPr>
                <w:sz w:val="22"/>
                <w:szCs w:val="22"/>
              </w:rPr>
              <w:t>е про</w:t>
            </w:r>
            <w:r w:rsidRPr="00C90D07">
              <w:rPr>
                <w:sz w:val="22"/>
                <w:szCs w:val="22"/>
              </w:rPr>
              <w:t>филактического визита, носят рекомендательный характер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</w:tbl>
    <w:p w:rsidR="00ED4048" w:rsidRDefault="00ED4048" w:rsidP="00DB18C3">
      <w:pPr>
        <w:shd w:val="clear" w:color="auto" w:fill="FFFFFF"/>
        <w:jc w:val="center"/>
        <w:rPr>
          <w:b/>
          <w:color w:val="000000"/>
        </w:rPr>
      </w:pPr>
    </w:p>
    <w:p w:rsidR="00ED4048" w:rsidRDefault="00ED4048" w:rsidP="00DB18C3">
      <w:pPr>
        <w:shd w:val="clear" w:color="auto" w:fill="FFFFFF"/>
        <w:jc w:val="center"/>
        <w:rPr>
          <w:b/>
          <w:color w:val="000000"/>
        </w:rPr>
      </w:pPr>
    </w:p>
    <w:p w:rsidR="00ED4048" w:rsidRPr="00EB76AB" w:rsidRDefault="00ED4048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ED4048" w:rsidRDefault="00ED4048" w:rsidP="00DB18C3">
      <w:pPr>
        <w:tabs>
          <w:tab w:val="left" w:pos="1740"/>
        </w:tabs>
      </w:pPr>
    </w:p>
    <w:p w:rsidR="00ED4048" w:rsidRPr="00943871" w:rsidRDefault="00ED4048" w:rsidP="000F5667">
      <w:pPr>
        <w:jc w:val="both"/>
      </w:pPr>
      <w:r>
        <w:tab/>
        <w:t xml:space="preserve">4.1. </w:t>
      </w:r>
      <w:r w:rsidRPr="00943871">
        <w:rPr>
          <w:rFonts w:ascii="PT Astra Serif Cyr" w:hAnsi="PT Astra Serif Cyr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D4048" w:rsidRPr="00943871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ED4048" w:rsidRPr="00943871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t>1) ключевые показатели муниципального</w:t>
      </w:r>
      <w:r>
        <w:rPr>
          <w:rFonts w:ascii="PT Astra Serif Cyr" w:hAnsi="PT Astra Serif Cyr"/>
          <w:color w:val="000000"/>
        </w:rPr>
        <w:t xml:space="preserve"> земельного </w:t>
      </w:r>
      <w:r w:rsidRPr="00943871">
        <w:rPr>
          <w:rFonts w:ascii="PT Astra Serif Cyr" w:hAnsi="PT Astra Serif Cyr"/>
          <w:color w:val="000000"/>
        </w:rPr>
        <w:t xml:space="preserve"> контроля, отражающие </w:t>
      </w:r>
      <w:r w:rsidRPr="00943871">
        <w:rPr>
          <w:rFonts w:ascii="PT Astra Serif Cyr" w:hAnsi="PT Astra Serif Cyr"/>
          <w:color w:val="000000"/>
        </w:rPr>
        <w:lastRenderedPageBreak/>
        <w:t>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ED4048" w:rsidRPr="00943871" w:rsidRDefault="00ED4048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 Cyr" w:hAnsi="PT Astra Serif Cyr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 Cyr" w:hAnsi="PT Astra Serif Cyr"/>
          <w:color w:val="000000"/>
        </w:rPr>
      </w:pPr>
      <w:r w:rsidRPr="00943871">
        <w:rPr>
          <w:rFonts w:ascii="PT Astra Serif Cyr" w:hAnsi="PT Astra Serif Cyr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 Cyr" w:hAnsi="PT Astra Serif Cyr"/>
          <w:color w:val="000000"/>
        </w:rPr>
        <w:t xml:space="preserve">такие показатели, как: </w:t>
      </w:r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 Cyr" w:hAnsi="PT Astra Serif Cyr"/>
          <w:color w:val="000000"/>
        </w:rPr>
        <w:t>- полнота информации, размещенной на официальном сайте контрольного органа  в соответствии с ч.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248-ФЗ</w:t>
      </w:r>
      <w:r w:rsidRPr="00943871">
        <w:t> </w:t>
      </w:r>
      <w:r w:rsidRPr="00943871">
        <w:rPr>
          <w:rFonts w:ascii="PT Astra Serif Cyr" w:hAnsi="PT Astra Serif Cyr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ED4048" w:rsidRPr="00943871" w:rsidRDefault="00ED4048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 Cyr" w:hAnsi="PT Astra Serif Cyr"/>
          <w:color w:val="000000"/>
        </w:rPr>
        <w:t>- у</w:t>
      </w:r>
      <w:r w:rsidRPr="00943871">
        <w:rPr>
          <w:rFonts w:ascii="PT Astra Serif Cyr" w:hAnsi="PT Astra Serif Cyr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ED4048" w:rsidRPr="003F202F" w:rsidRDefault="00ED4048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При осуществлении муниципального </w:t>
      </w:r>
      <w:r>
        <w:rPr>
          <w:rFonts w:ascii="PT Astra Serif Cyr" w:hAnsi="PT Astra Serif Cyr"/>
          <w:color w:val="000000"/>
        </w:rPr>
        <w:t xml:space="preserve">земельного </w:t>
      </w:r>
      <w:r w:rsidRPr="003F202F">
        <w:rPr>
          <w:rFonts w:ascii="PT Astra Serif Cyr" w:hAnsi="PT Astra Serif Cyr"/>
          <w:color w:val="000000"/>
        </w:rPr>
        <w:t>контроля</w:t>
      </w:r>
      <w:r>
        <w:rPr>
          <w:color w:val="000000"/>
        </w:rPr>
        <w:t xml:space="preserve"> </w:t>
      </w:r>
      <w:r w:rsidRPr="003F202F">
        <w:rPr>
          <w:rFonts w:ascii="PT Astra Serif Cyr" w:hAnsi="PT Astra Serif Cyr"/>
          <w:color w:val="000000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ED4048" w:rsidRPr="003F202F" w:rsidRDefault="00ED4048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ED4048" w:rsidRPr="003F202F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ED4048" w:rsidRPr="00943871" w:rsidRDefault="00ED4048" w:rsidP="00943871"/>
    <w:sectPr w:rsidR="00ED4048" w:rsidRPr="00943871" w:rsidSect="00191CB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B4" w:rsidRDefault="007011B4" w:rsidP="003C6CAF">
      <w:r>
        <w:separator/>
      </w:r>
    </w:p>
  </w:endnote>
  <w:endnote w:type="continuationSeparator" w:id="0">
    <w:p w:rsidR="007011B4" w:rsidRDefault="007011B4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B4" w:rsidRDefault="007011B4" w:rsidP="003C6CAF">
      <w:r>
        <w:separator/>
      </w:r>
    </w:p>
  </w:footnote>
  <w:footnote w:type="continuationSeparator" w:id="0">
    <w:p w:rsidR="007011B4" w:rsidRDefault="007011B4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0D9"/>
    <w:rsid w:val="000068AF"/>
    <w:rsid w:val="00012AB5"/>
    <w:rsid w:val="00045303"/>
    <w:rsid w:val="00071F70"/>
    <w:rsid w:val="00074B1F"/>
    <w:rsid w:val="000C25B4"/>
    <w:rsid w:val="000D08F5"/>
    <w:rsid w:val="000F05ED"/>
    <w:rsid w:val="000F5667"/>
    <w:rsid w:val="001105CB"/>
    <w:rsid w:val="001704E3"/>
    <w:rsid w:val="00183553"/>
    <w:rsid w:val="00190EFF"/>
    <w:rsid w:val="00191CB0"/>
    <w:rsid w:val="001E330C"/>
    <w:rsid w:val="002225B3"/>
    <w:rsid w:val="002E23CC"/>
    <w:rsid w:val="002F71B5"/>
    <w:rsid w:val="00334BD0"/>
    <w:rsid w:val="00347419"/>
    <w:rsid w:val="00347743"/>
    <w:rsid w:val="00383A06"/>
    <w:rsid w:val="003A0FDE"/>
    <w:rsid w:val="003C6CAF"/>
    <w:rsid w:val="003D6CE7"/>
    <w:rsid w:val="003F202F"/>
    <w:rsid w:val="003F3372"/>
    <w:rsid w:val="0042204D"/>
    <w:rsid w:val="00424555"/>
    <w:rsid w:val="004277B7"/>
    <w:rsid w:val="00434980"/>
    <w:rsid w:val="004455A8"/>
    <w:rsid w:val="004658A6"/>
    <w:rsid w:val="004701CC"/>
    <w:rsid w:val="00471190"/>
    <w:rsid w:val="00476AF7"/>
    <w:rsid w:val="004C5FE5"/>
    <w:rsid w:val="005008EE"/>
    <w:rsid w:val="00534721"/>
    <w:rsid w:val="00542CB4"/>
    <w:rsid w:val="0054562A"/>
    <w:rsid w:val="00591C9C"/>
    <w:rsid w:val="005B11E3"/>
    <w:rsid w:val="005D4FD6"/>
    <w:rsid w:val="00607144"/>
    <w:rsid w:val="00611211"/>
    <w:rsid w:val="006350D9"/>
    <w:rsid w:val="006B1706"/>
    <w:rsid w:val="006B237F"/>
    <w:rsid w:val="006C2620"/>
    <w:rsid w:val="007011B4"/>
    <w:rsid w:val="0071044F"/>
    <w:rsid w:val="007116F6"/>
    <w:rsid w:val="007319AF"/>
    <w:rsid w:val="00771438"/>
    <w:rsid w:val="00772797"/>
    <w:rsid w:val="00782042"/>
    <w:rsid w:val="007919A2"/>
    <w:rsid w:val="007A5B94"/>
    <w:rsid w:val="007E5330"/>
    <w:rsid w:val="007F7E51"/>
    <w:rsid w:val="00836F1A"/>
    <w:rsid w:val="00867DFB"/>
    <w:rsid w:val="00892C16"/>
    <w:rsid w:val="008A48BC"/>
    <w:rsid w:val="008B5054"/>
    <w:rsid w:val="008D3EB1"/>
    <w:rsid w:val="008D4635"/>
    <w:rsid w:val="008E5E19"/>
    <w:rsid w:val="009001C7"/>
    <w:rsid w:val="00910BDA"/>
    <w:rsid w:val="00943871"/>
    <w:rsid w:val="009507D0"/>
    <w:rsid w:val="00956AB4"/>
    <w:rsid w:val="00980ABE"/>
    <w:rsid w:val="00983C10"/>
    <w:rsid w:val="009C6F30"/>
    <w:rsid w:val="009D2D11"/>
    <w:rsid w:val="009D5AC8"/>
    <w:rsid w:val="009E4AA4"/>
    <w:rsid w:val="009F70B0"/>
    <w:rsid w:val="00A1204B"/>
    <w:rsid w:val="00A121FA"/>
    <w:rsid w:val="00A31C4D"/>
    <w:rsid w:val="00A5176D"/>
    <w:rsid w:val="00A53497"/>
    <w:rsid w:val="00A67AAC"/>
    <w:rsid w:val="00A94B38"/>
    <w:rsid w:val="00AD1272"/>
    <w:rsid w:val="00AD7A5E"/>
    <w:rsid w:val="00AE3657"/>
    <w:rsid w:val="00B20E10"/>
    <w:rsid w:val="00B45D98"/>
    <w:rsid w:val="00B773FC"/>
    <w:rsid w:val="00B926B9"/>
    <w:rsid w:val="00BA3B2F"/>
    <w:rsid w:val="00BB379E"/>
    <w:rsid w:val="00BB7CDE"/>
    <w:rsid w:val="00BC77F8"/>
    <w:rsid w:val="00BF7E67"/>
    <w:rsid w:val="00C15F5E"/>
    <w:rsid w:val="00C326EB"/>
    <w:rsid w:val="00C47859"/>
    <w:rsid w:val="00C80B25"/>
    <w:rsid w:val="00C81DB6"/>
    <w:rsid w:val="00C83AD9"/>
    <w:rsid w:val="00C90D07"/>
    <w:rsid w:val="00CA0E8D"/>
    <w:rsid w:val="00CC613F"/>
    <w:rsid w:val="00CD15B0"/>
    <w:rsid w:val="00CD7EB5"/>
    <w:rsid w:val="00D0695D"/>
    <w:rsid w:val="00D12720"/>
    <w:rsid w:val="00D52372"/>
    <w:rsid w:val="00D627AB"/>
    <w:rsid w:val="00DA2B7E"/>
    <w:rsid w:val="00DB18C3"/>
    <w:rsid w:val="00DC0399"/>
    <w:rsid w:val="00DC1796"/>
    <w:rsid w:val="00DF0F73"/>
    <w:rsid w:val="00E026D0"/>
    <w:rsid w:val="00E0623E"/>
    <w:rsid w:val="00E30BE9"/>
    <w:rsid w:val="00E41152"/>
    <w:rsid w:val="00E4190A"/>
    <w:rsid w:val="00EA5E21"/>
    <w:rsid w:val="00EB159F"/>
    <w:rsid w:val="00EB76AB"/>
    <w:rsid w:val="00EC0809"/>
    <w:rsid w:val="00EC3BB5"/>
    <w:rsid w:val="00ED4048"/>
    <w:rsid w:val="00F04778"/>
    <w:rsid w:val="00F04B12"/>
    <w:rsid w:val="00F13062"/>
    <w:rsid w:val="00F27B08"/>
    <w:rsid w:val="00F47460"/>
    <w:rsid w:val="00F7024E"/>
    <w:rsid w:val="00F817E6"/>
    <w:rsid w:val="00F82715"/>
    <w:rsid w:val="00F840D1"/>
    <w:rsid w:val="00FA29E6"/>
    <w:rsid w:val="00FA5F04"/>
    <w:rsid w:val="00FB64C3"/>
    <w:rsid w:val="00FD1F46"/>
    <w:rsid w:val="00FE77B7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header"/>
    <w:basedOn w:val="a"/>
    <w:link w:val="a9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C83A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83AD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980ABE"/>
    <w:rPr>
      <w:rFonts w:ascii="Times New Roman" w:hAnsi="Times New Roman"/>
      <w:sz w:val="22"/>
      <w:lang w:val="ru-RU" w:eastAsia="ru-RU"/>
    </w:rPr>
  </w:style>
  <w:style w:type="paragraph" w:customStyle="1" w:styleId="FontStyle15">
    <w:name w:val="Font Style15"/>
    <w:link w:val="FontStyle151"/>
    <w:uiPriority w:val="99"/>
    <w:rsid w:val="00980ABE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1890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45</cp:revision>
  <cp:lastPrinted>2021-11-25T09:02:00Z</cp:lastPrinted>
  <dcterms:created xsi:type="dcterms:W3CDTF">2021-10-15T08:25:00Z</dcterms:created>
  <dcterms:modified xsi:type="dcterms:W3CDTF">2022-11-02T08:48:00Z</dcterms:modified>
</cp:coreProperties>
</file>