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D2" w:rsidRDefault="002C72D2" w:rsidP="002C72D2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БРЯНСКАЯ ОБЛАСТЬ НАВЛИНСКИЙ РАЙОН</w:t>
      </w:r>
    </w:p>
    <w:p w:rsidR="002C72D2" w:rsidRDefault="00882E16" w:rsidP="002C72D2">
      <w:pPr>
        <w:pStyle w:val="a5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 xml:space="preserve">БЯКОВСКОЕ </w:t>
      </w:r>
      <w:r w:rsidR="002C72D2">
        <w:rPr>
          <w:color w:val="000000"/>
          <w:sz w:val="28"/>
          <w:szCs w:val="28"/>
        </w:rPr>
        <w:t xml:space="preserve"> СЕЛЬСКОЕ</w:t>
      </w:r>
      <w:proofErr w:type="gramEnd"/>
      <w:r w:rsidR="002C72D2">
        <w:rPr>
          <w:color w:val="000000"/>
          <w:sz w:val="28"/>
          <w:szCs w:val="28"/>
        </w:rPr>
        <w:t xml:space="preserve"> ПОСЕЛЕНИЕ</w:t>
      </w:r>
    </w:p>
    <w:p w:rsidR="002C72D2" w:rsidRDefault="00882E16" w:rsidP="002C72D2">
      <w:pPr>
        <w:pStyle w:val="a5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 xml:space="preserve">БЯКОВСКАЯ </w:t>
      </w:r>
      <w:r w:rsidR="002C72D2">
        <w:rPr>
          <w:color w:val="000000"/>
          <w:sz w:val="28"/>
          <w:szCs w:val="28"/>
        </w:rPr>
        <w:t xml:space="preserve"> СЕЛЬСКАЯ</w:t>
      </w:r>
      <w:proofErr w:type="gramEnd"/>
      <w:r w:rsidR="002C72D2">
        <w:rPr>
          <w:color w:val="000000"/>
          <w:sz w:val="28"/>
          <w:szCs w:val="28"/>
        </w:rPr>
        <w:t xml:space="preserve"> АДМИНИСТРАЦИЯ</w:t>
      </w:r>
    </w:p>
    <w:p w:rsidR="002C72D2" w:rsidRDefault="002C72D2" w:rsidP="002C72D2">
      <w:pPr>
        <w:pStyle w:val="a5"/>
        <w:spacing w:before="0" w:beforeAutospacing="0" w:after="150" w:afterAutospacing="0" w:line="238" w:lineRule="atLeast"/>
        <w:jc w:val="center"/>
      </w:pPr>
      <w:r>
        <w:t> </w:t>
      </w:r>
    </w:p>
    <w:p w:rsidR="002C72D2" w:rsidRDefault="002C72D2" w:rsidP="002C72D2">
      <w:pPr>
        <w:pStyle w:val="a5"/>
        <w:spacing w:before="0" w:beforeAutospacing="0" w:after="150" w:afterAutospacing="0" w:line="238" w:lineRule="atLeast"/>
        <w:jc w:val="center"/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ПОСТАНОВЛЕНИЕ</w:t>
      </w:r>
    </w:p>
    <w:p w:rsidR="00882E16" w:rsidRDefault="00882E16" w:rsidP="002C72D2">
      <w:pPr>
        <w:pStyle w:val="a5"/>
        <w:spacing w:before="0" w:beforeAutospacing="0" w:after="150" w:afterAutospacing="0" w:line="238" w:lineRule="atLeast"/>
        <w:jc w:val="center"/>
      </w:pPr>
    </w:p>
    <w:p w:rsidR="002C72D2" w:rsidRDefault="00882E16" w:rsidP="002C72D2">
      <w:pPr>
        <w:pStyle w:val="a5"/>
        <w:spacing w:before="0" w:beforeAutospacing="0" w:after="150" w:afterAutospacing="0" w:line="238" w:lineRule="atLeast"/>
      </w:pPr>
      <w:proofErr w:type="gramStart"/>
      <w:r>
        <w:rPr>
          <w:color w:val="242424"/>
          <w:sz w:val="28"/>
          <w:szCs w:val="28"/>
        </w:rPr>
        <w:t>от  28</w:t>
      </w:r>
      <w:r w:rsidR="002C72D2">
        <w:rPr>
          <w:color w:val="242424"/>
          <w:sz w:val="28"/>
          <w:szCs w:val="28"/>
        </w:rPr>
        <w:t>.12.2023</w:t>
      </w:r>
      <w:proofErr w:type="gramEnd"/>
      <w:r w:rsidR="002C72D2">
        <w:rPr>
          <w:color w:val="242424"/>
          <w:sz w:val="28"/>
          <w:szCs w:val="28"/>
        </w:rPr>
        <w:t xml:space="preserve"> года   № 21                 </w:t>
      </w:r>
    </w:p>
    <w:p w:rsidR="002C72D2" w:rsidRDefault="002C72D2" w:rsidP="002C72D2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Об утверждении Порядка ведения</w:t>
      </w:r>
    </w:p>
    <w:p w:rsidR="002C72D2" w:rsidRDefault="002C72D2" w:rsidP="002C72D2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муниципальной долговой книги</w:t>
      </w:r>
    </w:p>
    <w:p w:rsidR="002C72D2" w:rsidRDefault="002C72D2" w:rsidP="002C72D2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муниципального образования</w:t>
      </w:r>
    </w:p>
    <w:p w:rsidR="002C72D2" w:rsidRDefault="00882E16" w:rsidP="002C72D2">
      <w:pPr>
        <w:pStyle w:val="a5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Бяковского</w:t>
      </w:r>
      <w:proofErr w:type="spellEnd"/>
      <w:r w:rsidR="002C72D2">
        <w:rPr>
          <w:color w:val="000000"/>
          <w:sz w:val="28"/>
          <w:szCs w:val="28"/>
        </w:rPr>
        <w:t xml:space="preserve"> сельского поселения</w:t>
      </w:r>
    </w:p>
    <w:p w:rsidR="002C72D2" w:rsidRDefault="002C72D2" w:rsidP="002C72D2">
      <w:pPr>
        <w:pStyle w:val="a5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Навлинского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</w:p>
    <w:p w:rsidR="002C72D2" w:rsidRDefault="002C72D2" w:rsidP="002C72D2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района Брянской области</w:t>
      </w:r>
    </w:p>
    <w:p w:rsidR="002C72D2" w:rsidRDefault="002C72D2" w:rsidP="002C72D2">
      <w:pPr>
        <w:pStyle w:val="a5"/>
        <w:spacing w:before="0" w:beforeAutospacing="0" w:after="0" w:afterAutospacing="0"/>
      </w:pPr>
      <w:r>
        <w:t> </w:t>
      </w:r>
    </w:p>
    <w:p w:rsidR="002C72D2" w:rsidRDefault="002C72D2" w:rsidP="002C72D2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со статьями 120, 121 Бюджетного кодекса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="00882E16">
        <w:rPr>
          <w:color w:val="000000"/>
          <w:sz w:val="28"/>
          <w:szCs w:val="28"/>
        </w:rPr>
        <w:t>Бяковского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Навлинского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Брянской области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 администрация муниципального образования </w:t>
      </w:r>
      <w:proofErr w:type="spellStart"/>
      <w:r w:rsidR="00882E16">
        <w:rPr>
          <w:color w:val="000000"/>
          <w:sz w:val="28"/>
          <w:szCs w:val="28"/>
        </w:rPr>
        <w:t>Бяковского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</w:p>
    <w:p w:rsidR="002C72D2" w:rsidRDefault="002C72D2" w:rsidP="002C72D2">
      <w:pPr>
        <w:pStyle w:val="a5"/>
        <w:spacing w:before="0" w:beforeAutospacing="0" w:after="150" w:afterAutospacing="0" w:line="238" w:lineRule="atLeast"/>
      </w:pPr>
      <w:r>
        <w:rPr>
          <w:color w:val="242424"/>
          <w:sz w:val="28"/>
          <w:szCs w:val="28"/>
        </w:rPr>
        <w:t>ПОСТАНОВЛЯЕТ:</w:t>
      </w:r>
    </w:p>
    <w:p w:rsidR="002C72D2" w:rsidRDefault="002C72D2" w:rsidP="002C72D2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 Утвердить Порядок ведения муниципальной долговой книги муниципального образования </w:t>
      </w:r>
      <w:proofErr w:type="spellStart"/>
      <w:r w:rsidR="00882E16">
        <w:rPr>
          <w:color w:val="000000"/>
          <w:sz w:val="28"/>
          <w:szCs w:val="28"/>
        </w:rPr>
        <w:t>Бяковское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Навлинского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Брянской области согласно приложению.</w:t>
      </w:r>
    </w:p>
    <w:p w:rsidR="002C72D2" w:rsidRDefault="002C72D2" w:rsidP="002C72D2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Навлинского</w:t>
      </w:r>
      <w:proofErr w:type="spellEnd"/>
      <w:r>
        <w:rPr>
          <w:color w:val="000000"/>
          <w:sz w:val="28"/>
          <w:szCs w:val="28"/>
        </w:rPr>
        <w:t xml:space="preserve"> района в </w:t>
      </w:r>
      <w:proofErr w:type="gramStart"/>
      <w:r>
        <w:rPr>
          <w:color w:val="000000"/>
          <w:sz w:val="28"/>
          <w:szCs w:val="28"/>
        </w:rPr>
        <w:t xml:space="preserve">разделе  </w:t>
      </w:r>
      <w:r w:rsidR="00882E16">
        <w:rPr>
          <w:color w:val="000000"/>
          <w:sz w:val="28"/>
          <w:szCs w:val="28"/>
        </w:rPr>
        <w:t>«</w:t>
      </w:r>
      <w:proofErr w:type="spellStart"/>
      <w:proofErr w:type="gramEnd"/>
      <w:r w:rsidR="00882E16">
        <w:rPr>
          <w:color w:val="000000"/>
          <w:sz w:val="28"/>
          <w:szCs w:val="28"/>
        </w:rPr>
        <w:t>Бяковское</w:t>
      </w:r>
      <w:proofErr w:type="spellEnd"/>
      <w:r w:rsidR="00882E16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.</w:t>
      </w:r>
    </w:p>
    <w:p w:rsidR="002C72D2" w:rsidRDefault="002C72D2" w:rsidP="002C72D2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3. Настоящее постановление вступает в силу с момента подписания и распространяется </w:t>
      </w:r>
      <w:proofErr w:type="gramStart"/>
      <w:r>
        <w:rPr>
          <w:color w:val="000000"/>
          <w:sz w:val="28"/>
          <w:szCs w:val="28"/>
        </w:rPr>
        <w:t>на правоотношения</w:t>
      </w:r>
      <w:proofErr w:type="gramEnd"/>
      <w:r>
        <w:rPr>
          <w:color w:val="000000"/>
          <w:sz w:val="28"/>
          <w:szCs w:val="28"/>
        </w:rPr>
        <w:t xml:space="preserve"> возникшие с 01.01.2023.</w:t>
      </w:r>
    </w:p>
    <w:p w:rsidR="002C72D2" w:rsidRDefault="002C72D2" w:rsidP="002C72D2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на ведущего специалиста </w:t>
      </w:r>
      <w:proofErr w:type="spellStart"/>
      <w:r w:rsidR="00882E16">
        <w:rPr>
          <w:color w:val="000000"/>
          <w:sz w:val="28"/>
          <w:szCs w:val="28"/>
        </w:rPr>
        <w:t>Бяковской</w:t>
      </w:r>
      <w:proofErr w:type="spellEnd"/>
      <w:r>
        <w:rPr>
          <w:color w:val="000000"/>
          <w:sz w:val="28"/>
          <w:szCs w:val="28"/>
        </w:rPr>
        <w:t xml:space="preserve"> сельской администрации.</w:t>
      </w:r>
    </w:p>
    <w:p w:rsidR="002C72D2" w:rsidRDefault="002C72D2" w:rsidP="002C72D2">
      <w:pPr>
        <w:pStyle w:val="a5"/>
        <w:spacing w:before="0" w:beforeAutospacing="0" w:after="150" w:afterAutospacing="0" w:line="238" w:lineRule="atLeast"/>
      </w:pPr>
      <w:r>
        <w:t> </w:t>
      </w:r>
    </w:p>
    <w:p w:rsidR="002C72D2" w:rsidRDefault="002C72D2" w:rsidP="002C72D2">
      <w:pPr>
        <w:pStyle w:val="a5"/>
        <w:spacing w:before="0" w:beforeAutospacing="0" w:after="150" w:afterAutospacing="0" w:line="238" w:lineRule="atLeast"/>
      </w:pPr>
      <w:r>
        <w:t> </w:t>
      </w:r>
    </w:p>
    <w:p w:rsidR="00882E16" w:rsidRDefault="00882E16" w:rsidP="002C72D2">
      <w:pPr>
        <w:pStyle w:val="a5"/>
        <w:spacing w:before="0" w:beforeAutospacing="0" w:after="150" w:afterAutospacing="0" w:line="238" w:lineRule="atLeast"/>
      </w:pPr>
    </w:p>
    <w:p w:rsidR="002C72D2" w:rsidRDefault="002C72D2" w:rsidP="00882E16">
      <w:pPr>
        <w:pStyle w:val="a5"/>
        <w:spacing w:before="0" w:beforeAutospacing="0" w:after="0" w:afterAutospacing="0" w:line="238" w:lineRule="atLeast"/>
      </w:pPr>
      <w:proofErr w:type="gramStart"/>
      <w:r>
        <w:rPr>
          <w:color w:val="242424"/>
          <w:sz w:val="28"/>
          <w:szCs w:val="28"/>
        </w:rPr>
        <w:t xml:space="preserve">Глава </w:t>
      </w:r>
      <w:r w:rsidR="00882E16">
        <w:rPr>
          <w:color w:val="242424"/>
          <w:sz w:val="28"/>
          <w:szCs w:val="28"/>
        </w:rPr>
        <w:t xml:space="preserve"> </w:t>
      </w:r>
      <w:proofErr w:type="spellStart"/>
      <w:r w:rsidR="00882E16">
        <w:rPr>
          <w:color w:val="242424"/>
          <w:sz w:val="28"/>
          <w:szCs w:val="28"/>
        </w:rPr>
        <w:t>Бяковской</w:t>
      </w:r>
      <w:proofErr w:type="spellEnd"/>
      <w:proofErr w:type="gramEnd"/>
      <w:r w:rsidR="00882E16">
        <w:rPr>
          <w:color w:val="242424"/>
          <w:sz w:val="28"/>
          <w:szCs w:val="28"/>
        </w:rPr>
        <w:t xml:space="preserve"> </w:t>
      </w:r>
    </w:p>
    <w:p w:rsidR="002C72D2" w:rsidRDefault="002C72D2" w:rsidP="00882E16">
      <w:pPr>
        <w:pStyle w:val="a5"/>
        <w:spacing w:before="0" w:beforeAutospacing="0" w:after="0" w:afterAutospacing="0" w:line="238" w:lineRule="atLeast"/>
      </w:pPr>
      <w:r>
        <w:rPr>
          <w:color w:val="242424"/>
          <w:sz w:val="28"/>
          <w:szCs w:val="28"/>
        </w:rPr>
        <w:t>се</w:t>
      </w:r>
      <w:r w:rsidR="00882E16">
        <w:rPr>
          <w:color w:val="242424"/>
          <w:sz w:val="28"/>
          <w:szCs w:val="28"/>
        </w:rPr>
        <w:t>льской администрации                                                    В. Н. Рылов</w:t>
      </w:r>
    </w:p>
    <w:p w:rsidR="002C72D2" w:rsidRDefault="002C72D2" w:rsidP="00882E16">
      <w:pPr>
        <w:pStyle w:val="a5"/>
        <w:spacing w:before="0" w:beforeAutospacing="0" w:after="0" w:afterAutospacing="0" w:line="238" w:lineRule="atLeast"/>
      </w:pPr>
      <w:r>
        <w:t> </w:t>
      </w:r>
    </w:p>
    <w:p w:rsidR="002C72D2" w:rsidRDefault="002C72D2" w:rsidP="002C72D2">
      <w:pPr>
        <w:pStyle w:val="a5"/>
        <w:spacing w:before="0" w:beforeAutospacing="0" w:after="150" w:afterAutospacing="0" w:line="238" w:lineRule="atLeast"/>
      </w:pPr>
      <w:r>
        <w:t> </w:t>
      </w:r>
    </w:p>
    <w:p w:rsidR="00882E16" w:rsidRDefault="00882E16" w:rsidP="002C72D2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882E16" w:rsidRDefault="00882E16" w:rsidP="002C72D2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882E16" w:rsidRDefault="00882E16" w:rsidP="002C72D2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882E16" w:rsidRDefault="00882E16" w:rsidP="002C72D2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C72D2" w:rsidRDefault="002C72D2" w:rsidP="002C72D2">
      <w:pPr>
        <w:pStyle w:val="a5"/>
        <w:spacing w:before="0" w:beforeAutospacing="0" w:after="0" w:afterAutospacing="0"/>
        <w:jc w:val="right"/>
      </w:pPr>
      <w:r>
        <w:rPr>
          <w:color w:val="000000"/>
          <w:sz w:val="22"/>
          <w:szCs w:val="22"/>
        </w:rPr>
        <w:lastRenderedPageBreak/>
        <w:t>Приложение</w:t>
      </w:r>
    </w:p>
    <w:p w:rsidR="002C72D2" w:rsidRDefault="002C72D2" w:rsidP="002C72D2">
      <w:pPr>
        <w:pStyle w:val="a5"/>
        <w:spacing w:before="0" w:beforeAutospacing="0" w:after="0" w:afterAutospacing="0"/>
        <w:jc w:val="right"/>
      </w:pPr>
      <w:r>
        <w:rPr>
          <w:color w:val="000000"/>
          <w:sz w:val="22"/>
          <w:szCs w:val="22"/>
        </w:rPr>
        <w:t>к постановлению администрации</w:t>
      </w:r>
    </w:p>
    <w:p w:rsidR="002C72D2" w:rsidRDefault="002C72D2" w:rsidP="002C72D2">
      <w:pPr>
        <w:pStyle w:val="a5"/>
        <w:spacing w:before="0" w:beforeAutospacing="0" w:after="0" w:afterAutospacing="0"/>
        <w:jc w:val="right"/>
      </w:pPr>
      <w:r>
        <w:rPr>
          <w:color w:val="000000"/>
          <w:sz w:val="22"/>
          <w:szCs w:val="22"/>
        </w:rPr>
        <w:t>муниципального образования</w:t>
      </w:r>
    </w:p>
    <w:p w:rsidR="002C72D2" w:rsidRDefault="00882E16" w:rsidP="002C72D2">
      <w:pPr>
        <w:pStyle w:val="a5"/>
        <w:spacing w:before="0" w:beforeAutospacing="0" w:after="0" w:afterAutospacing="0"/>
        <w:jc w:val="right"/>
      </w:pPr>
      <w:proofErr w:type="spellStart"/>
      <w:r>
        <w:rPr>
          <w:color w:val="000000"/>
          <w:sz w:val="22"/>
          <w:szCs w:val="22"/>
        </w:rPr>
        <w:t>Бяков</w:t>
      </w:r>
      <w:r w:rsidR="002C72D2">
        <w:rPr>
          <w:color w:val="000000"/>
          <w:sz w:val="22"/>
          <w:szCs w:val="22"/>
        </w:rPr>
        <w:t>ское</w:t>
      </w:r>
      <w:proofErr w:type="spellEnd"/>
      <w:r w:rsidR="002C72D2">
        <w:rPr>
          <w:color w:val="000000"/>
          <w:sz w:val="22"/>
          <w:szCs w:val="22"/>
        </w:rPr>
        <w:t xml:space="preserve"> сельское поселение</w:t>
      </w:r>
    </w:p>
    <w:p w:rsidR="002C72D2" w:rsidRDefault="00882E16" w:rsidP="002C72D2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2</w:t>
      </w:r>
      <w:r w:rsidR="002C72D2">
        <w:rPr>
          <w:color w:val="000000"/>
          <w:sz w:val="22"/>
          <w:szCs w:val="22"/>
        </w:rPr>
        <w:t>8.12. 2023 г. № 21</w:t>
      </w:r>
    </w:p>
    <w:p w:rsidR="00882E16" w:rsidRDefault="00882E16" w:rsidP="002C72D2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882E16" w:rsidRDefault="00882E16" w:rsidP="002C72D2">
      <w:pPr>
        <w:pStyle w:val="a5"/>
        <w:spacing w:before="0" w:beforeAutospacing="0" w:after="0" w:afterAutospacing="0"/>
        <w:jc w:val="right"/>
      </w:pP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center"/>
      </w:pPr>
      <w:r>
        <w:rPr>
          <w:b/>
          <w:bCs/>
          <w:color w:val="000000"/>
        </w:rPr>
        <w:t>ПОРЯДОК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center"/>
      </w:pPr>
      <w:r>
        <w:rPr>
          <w:b/>
          <w:bCs/>
          <w:color w:val="000000"/>
        </w:rPr>
        <w:t xml:space="preserve">ведения муниципальной долговой книги муниципального образования </w:t>
      </w:r>
      <w:proofErr w:type="spellStart"/>
      <w:proofErr w:type="gramStart"/>
      <w:r w:rsidR="00882E16">
        <w:rPr>
          <w:b/>
          <w:bCs/>
          <w:color w:val="000000"/>
        </w:rPr>
        <w:t>Бяковское</w:t>
      </w:r>
      <w:proofErr w:type="spellEnd"/>
      <w:r w:rsidR="00882E1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сельское</w:t>
      </w:r>
      <w:proofErr w:type="gramEnd"/>
      <w:r>
        <w:rPr>
          <w:b/>
          <w:bCs/>
          <w:color w:val="000000"/>
        </w:rPr>
        <w:t xml:space="preserve"> поселение </w:t>
      </w:r>
      <w:proofErr w:type="spellStart"/>
      <w:r>
        <w:rPr>
          <w:b/>
          <w:bCs/>
          <w:color w:val="000000"/>
        </w:rPr>
        <w:t>Навлинского</w:t>
      </w:r>
      <w:proofErr w:type="spellEnd"/>
      <w:r>
        <w:rPr>
          <w:b/>
          <w:bCs/>
          <w:color w:val="000000"/>
        </w:rPr>
        <w:t xml:space="preserve"> муниципального района Брянской области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t> </w:t>
      </w:r>
    </w:p>
    <w:p w:rsidR="002C72D2" w:rsidRDefault="00882E16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1</w:t>
      </w:r>
      <w:r w:rsidR="002C72D2">
        <w:rPr>
          <w:color w:val="000000"/>
        </w:rPr>
        <w:t xml:space="preserve">.1. 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муниципального образования </w:t>
      </w:r>
      <w:proofErr w:type="spellStart"/>
      <w:r>
        <w:rPr>
          <w:color w:val="000000"/>
        </w:rPr>
        <w:t>Бяковск</w:t>
      </w:r>
      <w:r w:rsidR="002C72D2">
        <w:rPr>
          <w:color w:val="000000"/>
        </w:rPr>
        <w:t>ое</w:t>
      </w:r>
      <w:proofErr w:type="spellEnd"/>
      <w:r w:rsidR="002C72D2">
        <w:rPr>
          <w:color w:val="000000"/>
        </w:rPr>
        <w:t xml:space="preserve"> сельское поселение </w:t>
      </w:r>
      <w:proofErr w:type="spellStart"/>
      <w:r w:rsidR="002C72D2">
        <w:rPr>
          <w:color w:val="000000"/>
        </w:rPr>
        <w:t>Навлинского</w:t>
      </w:r>
      <w:proofErr w:type="spellEnd"/>
      <w:r w:rsidR="002C72D2">
        <w:rPr>
          <w:color w:val="000000"/>
        </w:rPr>
        <w:t xml:space="preserve"> муниципального района Брянской области, обеспечения контроля за полнотой учета, своевременностью обслуживания и исполнения долговых обязательств </w:t>
      </w:r>
      <w:proofErr w:type="spellStart"/>
      <w:r>
        <w:rPr>
          <w:color w:val="000000"/>
        </w:rPr>
        <w:t>Бяковского</w:t>
      </w:r>
      <w:proofErr w:type="spellEnd"/>
      <w:r w:rsidR="002C72D2">
        <w:rPr>
          <w:color w:val="000000"/>
        </w:rPr>
        <w:t xml:space="preserve"> сельского поселения, контроля за структурой и объемом муниципального долга и устанавливает объем информации, порядок её внесения в Долговую книгу, регистрации долговых обязательств в Долговой книге, представления информации о долговых обязательствах </w:t>
      </w:r>
      <w:proofErr w:type="spellStart"/>
      <w:r>
        <w:rPr>
          <w:color w:val="000000"/>
        </w:rPr>
        <w:t>Бяковского</w:t>
      </w:r>
      <w:proofErr w:type="spellEnd"/>
      <w:r w:rsidR="002C72D2">
        <w:rPr>
          <w:color w:val="000000"/>
        </w:rPr>
        <w:t xml:space="preserve"> сельского поселения в финансовый отдел </w:t>
      </w:r>
      <w:proofErr w:type="spellStart"/>
      <w:r w:rsidR="002C72D2">
        <w:rPr>
          <w:color w:val="000000"/>
        </w:rPr>
        <w:t>Навлинского</w:t>
      </w:r>
      <w:proofErr w:type="spellEnd"/>
      <w:r w:rsidR="002C72D2">
        <w:rPr>
          <w:color w:val="000000"/>
        </w:rPr>
        <w:t xml:space="preserve"> муниципального района .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 xml:space="preserve">1.2. Муниципальная долговая книга муниципального образования </w:t>
      </w:r>
      <w:proofErr w:type="spellStart"/>
      <w:r w:rsidR="00882E16">
        <w:rPr>
          <w:color w:val="000000"/>
        </w:rPr>
        <w:t>Бяковское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Навлинского</w:t>
      </w:r>
      <w:proofErr w:type="spellEnd"/>
      <w:r>
        <w:rPr>
          <w:color w:val="000000"/>
        </w:rPr>
        <w:t xml:space="preserve"> муниципального района Брянской области - свод информации о долговых обязательствах муниципального образования </w:t>
      </w:r>
      <w:proofErr w:type="spellStart"/>
      <w:r w:rsidR="00882E16">
        <w:rPr>
          <w:color w:val="000000"/>
        </w:rPr>
        <w:t>Бяковское</w:t>
      </w:r>
      <w:proofErr w:type="spellEnd"/>
      <w:r>
        <w:rPr>
          <w:color w:val="000000"/>
        </w:rPr>
        <w:t xml:space="preserve"> сельское поселение (далее - долговая книга). Ведение долговой книги осуществляется ведущим специалистом</w:t>
      </w:r>
      <w:r w:rsidR="00882E16">
        <w:rPr>
          <w:color w:val="000000"/>
        </w:rPr>
        <w:t xml:space="preserve"> </w:t>
      </w:r>
      <w:proofErr w:type="spellStart"/>
      <w:r w:rsidR="00882E16">
        <w:rPr>
          <w:color w:val="000000"/>
        </w:rPr>
        <w:t>Бяковской</w:t>
      </w:r>
      <w:proofErr w:type="spellEnd"/>
      <w:r>
        <w:rPr>
          <w:color w:val="000000"/>
        </w:rPr>
        <w:t xml:space="preserve"> сельской администрации.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Долговая книга включает следующие разделы: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муниципальные ценные бумаги;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кредиты, полученные администрацией от кредитных организаций;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бюджетные кредиты, привлеченные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иные долговые обязательства.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1.3. По каждому муниципальному долговому обязательству в долговой книге отражается следующая информация: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  <w:u w:val="single"/>
        </w:rPr>
        <w:t>1.3.1. по муниципальным ценным бумагам</w:t>
      </w:r>
      <w:r>
        <w:rPr>
          <w:color w:val="000000"/>
        </w:rPr>
        <w:t>: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регистрационный номер долгового обязательства;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государственный регистрационный номер выпуска муниципальных ценных бумаг;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вид муниципальных ценных бумаг;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форма выпуска ценных бумаг;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регистрационный номер и дата государственной регистрации условий эмиссии и обращения муниципальных ценных бумаг;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основание для осуществления эмиссии муниципальных ценных бумаг;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ограничения на владельцев муниципальных ценных бумаг;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валюта обязательств;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номинальная стоимость одной муниципальной ценной бумаги;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lastRenderedPageBreak/>
        <w:t>- объявленный (по номиналу) и фактически размещенный (</w:t>
      </w:r>
      <w:proofErr w:type="spellStart"/>
      <w:r>
        <w:rPr>
          <w:color w:val="000000"/>
        </w:rPr>
        <w:t>доразмещенный</w:t>
      </w:r>
      <w:proofErr w:type="spellEnd"/>
      <w:r>
        <w:rPr>
          <w:color w:val="000000"/>
        </w:rPr>
        <w:t>) (по номиналу) объем выпуска (дополнительного выпуска) ценных бумаг;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даты размещения, доразмещения, выплаты купонного дохода, выкупа и погашения выпуска ценных бумаг;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ставки купонного дохода;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размер купонного дохода в расчете на одну муниципальную ценную бумагу;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сведения о погашении (реструктуризации, выкупе) выпуска ценных бумаг;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сведения об уплате процентных платежей по ценным бумагам (произведены или не произведены);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наименование генерального агента (агента) по размещению муниципальных ценных бумаг;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наименование регистратора или депозитария;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наименование организатора торговли на рынке ценных бумаг;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информация о просроченной задолженности;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объем долга по муниципальным ценным бумагам по номинальной стоимости;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иные сведения, раскрывающие условия размещения, обращения и погашения выпуска ценных бумаг.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  <w:u w:val="single"/>
        </w:rPr>
        <w:t>1.3.2. по кредитам, полученным муниципальным образованием от кредитных организаций: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регистрационный номер долгового обязательства;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наименование, номер и дата заключения договора или соглашения;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основание для заключения договора или соглашения;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наименование кредитора;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валюта обязательств;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объем долгового обязательства по договору или соглашению;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процентная ставка по кредиту;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даты получения кредита, выплаты процентных платежей, погашения кредита;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сведения о фактическом использовании кредита;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сведения о погашении кредита;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сведения о процентных платежах по кредиту (произведены или не произведены);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изменение условий договора или соглашения о предоставлении кредита;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фактическая задолженность по кредиту, в том числе фактическая задолженность по основному долгу по кредиту, обслуживанию кредита и просроченная задолженность по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иные сведения, раскрывающие условия договора или соглашения о предоставлении кредита.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  <w:u w:val="single"/>
        </w:rPr>
        <w:t>1.3.3. по бюджетным кредитам, привлеченным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кредитов: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регистрационный номер долгового обязательства;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основание для заключения договора или соглашения;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наименование кредитора;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валюта обязательства;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объем обязательств по договору или соглашению;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процентная ставка по бюджетному кредиту;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даты получения кредита, выплаты процентных платежей, погашения кредита;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сведения о фактическом использовании кредита;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сведения о погашении кредита;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сведения о процентных платежах по кредиту (произведены или не произведены);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изменение условий договора или соглашения о предоставлении кредита;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lastRenderedPageBreak/>
        <w:t>- 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иные сведения, раскрывающие условия договора или соглашения о предоставлении кредита.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  <w:u w:val="single"/>
        </w:rPr>
        <w:t>1.3.4. по муниципальным гарантиям, включая муниципальные гарантии, предоставленные Российской Федерации в иностранной валюте в рамках использования целевых иностранных кредитов: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регистрационный номер долгового обязательства;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наименование документа, на основании которого возникло долговое обязательство, его номер и дата;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основание для предоставления гарантии;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наименование принципала;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наименование бенефициара;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валюта обязательства по гарантии;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объем обязательств по гарантии;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дата или момент вступления гарантии в силу;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сроки гарантии, предъявления требований по гарантии, исполнения гарантии;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сведения о полном или частичном исполнении, прекращении обязательств по гарантии, в том числе увеличении и уменьшении долгового обязательства по основному долгу, по обслуживанию (учитывая начисленные и уплаченные принципалом проценты, комиссии, маржу, неустойку (штрафы, пени) и иные платежи, предусмотренные условиям гарантии), а также суммы, исполненные гарантом (учитываются начисленные и уплаченные гарантом проценты, комиссии, маржа, неустойки (штрафы, пени) и иные платежи, предусмотренные условиями гарантии);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фактическая задолженность по гарантии, в том числе по основному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процентов, комиссий, маржи, неустоек (штрафов, пеней) и иных платежей, предусмотренных условиями гарантии);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иные сведения, раскрывающие условия гарантии.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  <w:u w:val="single"/>
        </w:rPr>
        <w:t>1.3.5. по иным долговым обязательствам</w:t>
      </w:r>
      <w:r>
        <w:rPr>
          <w:color w:val="000000"/>
        </w:rPr>
        <w:t>: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регистрационный номер долгового обязательства;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основание для возникновения обязательства;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даты возникновения и погашения обязательства (полностью, частично);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форма обеспечения обязательств;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- иные сведения, раскрывающие условия исполнения обязательства.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1.4.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 в соответствии с пунктом 1.3 настоящего Порядка в срок, не превышающий пяти рабочих дней с момента возникновения, изменения или прекращения долгового обязательства.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1.5. Регистрация долговых обязательств осуществляется путем внесения соответствующих записей в долговую книгу и присвоения регистрационного номера долговому обязательству.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Регистрационный номер долгового обязательства состоит из шести знаков: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XNNNГГ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lastRenderedPageBreak/>
        <w:t>X - вид долгового обязательства: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1 - муниципальные ценные бумаги;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2 - кредиты, полученные муниципальным образованием от организаций;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3 - бюджетные кредиты, привлеченные в местный бюджет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4 - 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5 - иные долговые обязательства.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NNN - порядковый номер долгового обязательства в соответствующем разделе долговой книги;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ГГ - две последние цифры года, в котором возникло долговое обязательство.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1.6. Записи в долговой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 прекращение долгового обязательства.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В случае внесения изменений и дополнений в указанные документы, эти документы должны быть представлены в финансовое управление в двухдневный срок.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1.7. Учет операций в долговой книге ведется на бумажном носителе или, при наличии технических возможностей - в электронном виде. Долговая книга выводится на бумажный носитель ежемесячно по состоянию на 1-е число месяца, следующего за отчетным месяцем, по форме согласно приложению № 1 к настоящему Порядку.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При формировании долговой книги на бумажном носителе листы брошюруются, нумеруются, долговая книга подписывается руководителем и скрепляется гербовой печатью.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 xml:space="preserve">1.8. Информация о долговых обязательствах муниципального образования </w:t>
      </w:r>
      <w:proofErr w:type="spellStart"/>
      <w:r w:rsidR="00882E16">
        <w:rPr>
          <w:color w:val="000000"/>
        </w:rPr>
        <w:t>Бяковское</w:t>
      </w:r>
      <w:proofErr w:type="spellEnd"/>
      <w:r>
        <w:rPr>
          <w:color w:val="000000"/>
        </w:rPr>
        <w:t xml:space="preserve"> сельское поселение, отраженная в долговой книге, подлежит обязательной передаче в финансовый отдел </w:t>
      </w:r>
      <w:proofErr w:type="spellStart"/>
      <w:r>
        <w:rPr>
          <w:color w:val="000000"/>
        </w:rPr>
        <w:t>Навлинского</w:t>
      </w:r>
      <w:proofErr w:type="spellEnd"/>
      <w:r>
        <w:rPr>
          <w:color w:val="000000"/>
        </w:rPr>
        <w:t xml:space="preserve"> муниципального района в соответствии с установленным им порядком по формам в соответствии с приложением № 2 к настоящему Порядку.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1.9. </w:t>
      </w:r>
      <w:bookmarkStart w:id="0" w:name="sub_1210105"/>
      <w:r>
        <w:rPr>
          <w:color w:val="000000"/>
        </w:rPr>
        <w:t>Информация о муниципальных долговых обязательствах</w:t>
      </w:r>
      <w:r>
        <w:rPr>
          <w:color w:val="1D85B3"/>
          <w:u w:val="single"/>
        </w:rPr>
        <w:t> </w:t>
      </w:r>
      <w:bookmarkEnd w:id="0"/>
      <w:r>
        <w:rPr>
          <w:color w:val="000000"/>
        </w:rPr>
        <w:t xml:space="preserve">муниципального образования </w:t>
      </w:r>
      <w:proofErr w:type="spellStart"/>
      <w:r w:rsidR="00882E16">
        <w:rPr>
          <w:color w:val="000000"/>
        </w:rPr>
        <w:t>Бяковское</w:t>
      </w:r>
      <w:proofErr w:type="spellEnd"/>
      <w:r>
        <w:rPr>
          <w:color w:val="000000"/>
        </w:rPr>
        <w:t xml:space="preserve"> сельское поселение по муниципальным гарантиям муниципального образования </w:t>
      </w:r>
      <w:proofErr w:type="spellStart"/>
      <w:r w:rsidR="00882E16">
        <w:rPr>
          <w:color w:val="000000"/>
        </w:rPr>
        <w:t>Бяковское</w:t>
      </w:r>
      <w:proofErr w:type="spellEnd"/>
      <w:r>
        <w:rPr>
          <w:color w:val="000000"/>
        </w:rPr>
        <w:t xml:space="preserve"> сельское поселение, вносится в муниципальную долговую книгу в течение пяти рабочих дней с момента получения </w:t>
      </w:r>
      <w:proofErr w:type="spellStart"/>
      <w:r w:rsidR="00882E16">
        <w:rPr>
          <w:color w:val="000000"/>
        </w:rPr>
        <w:t>Бяковской</w:t>
      </w:r>
      <w:proofErr w:type="spellEnd"/>
      <w:r>
        <w:rPr>
          <w:color w:val="000000"/>
        </w:rPr>
        <w:t xml:space="preserve"> сельской администрацией сведений о фактическом возникновении (увеличении) или прекращении (уменьшении) обязательств принципала, обеспеченных муниципальной гарантией муниципального образования </w:t>
      </w:r>
      <w:proofErr w:type="spellStart"/>
      <w:r w:rsidR="00882E16">
        <w:rPr>
          <w:color w:val="000000"/>
        </w:rPr>
        <w:t>Бяковское</w:t>
      </w:r>
      <w:proofErr w:type="spellEnd"/>
      <w:r>
        <w:rPr>
          <w:color w:val="000000"/>
        </w:rPr>
        <w:t xml:space="preserve"> сельское поселение.</w:t>
      </w:r>
    </w:p>
    <w:p w:rsidR="002C72D2" w:rsidRDefault="002C72D2" w:rsidP="002C72D2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</w:rPr>
        <w:t>1.10. 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долговой книги, которые предоставляют указанные документы либо информацию о них в целях ведения бухгалтерского учета, а также осуществления финансового контроля.</w:t>
      </w:r>
    </w:p>
    <w:p w:rsidR="002C72D2" w:rsidRDefault="002C72D2" w:rsidP="002C72D2">
      <w:pPr>
        <w:pStyle w:val="a5"/>
        <w:spacing w:before="0" w:beforeAutospacing="0" w:after="0" w:afterAutospacing="0"/>
      </w:pPr>
      <w:r>
        <w:rPr>
          <w:color w:val="333333"/>
        </w:rPr>
        <w:br/>
        <w:t> </w:t>
      </w:r>
    </w:p>
    <w:p w:rsidR="002C72D2" w:rsidRDefault="002C72D2" w:rsidP="002C72D2">
      <w:pPr>
        <w:pStyle w:val="a5"/>
        <w:spacing w:before="0" w:beforeAutospacing="0" w:after="150" w:afterAutospacing="0" w:line="238" w:lineRule="atLeast"/>
        <w:jc w:val="right"/>
      </w:pPr>
      <w:r>
        <w:t> </w:t>
      </w:r>
    </w:p>
    <w:p w:rsidR="002C72D2" w:rsidRDefault="002C72D2" w:rsidP="002C72D2">
      <w:pPr>
        <w:pStyle w:val="a5"/>
        <w:spacing w:before="0" w:beforeAutospacing="0" w:after="150" w:afterAutospacing="0" w:line="238" w:lineRule="atLeast"/>
        <w:jc w:val="right"/>
      </w:pPr>
      <w:r>
        <w:t> </w:t>
      </w:r>
    </w:p>
    <w:p w:rsidR="002C72D2" w:rsidRDefault="002C72D2" w:rsidP="002C72D2">
      <w:pPr>
        <w:pStyle w:val="a5"/>
        <w:spacing w:before="0" w:beforeAutospacing="0" w:after="150" w:afterAutospacing="0" w:line="238" w:lineRule="atLeast"/>
        <w:jc w:val="right"/>
      </w:pPr>
      <w:r>
        <w:t> </w:t>
      </w:r>
    </w:p>
    <w:p w:rsidR="002C72D2" w:rsidRDefault="002C72D2" w:rsidP="002C72D2">
      <w:pPr>
        <w:pStyle w:val="a5"/>
        <w:spacing w:before="0" w:beforeAutospacing="0" w:after="150" w:afterAutospacing="0" w:line="238" w:lineRule="atLeast"/>
        <w:jc w:val="right"/>
      </w:pPr>
      <w:r>
        <w:t> </w:t>
      </w:r>
    </w:p>
    <w:p w:rsidR="002C72D2" w:rsidRDefault="002C72D2" w:rsidP="002C72D2">
      <w:pPr>
        <w:pStyle w:val="a5"/>
        <w:spacing w:before="0" w:beforeAutospacing="0" w:after="150" w:afterAutospacing="0" w:line="238" w:lineRule="atLeast"/>
        <w:jc w:val="right"/>
      </w:pPr>
      <w:r>
        <w:lastRenderedPageBreak/>
        <w:t> </w:t>
      </w:r>
      <w:bookmarkStart w:id="1" w:name="_GoBack"/>
      <w:bookmarkEnd w:id="1"/>
    </w:p>
    <w:sectPr w:rsidR="002C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81"/>
    <w:rsid w:val="00255A81"/>
    <w:rsid w:val="002C72D2"/>
    <w:rsid w:val="003A111B"/>
    <w:rsid w:val="007843B2"/>
    <w:rsid w:val="00882E16"/>
    <w:rsid w:val="00A95E3D"/>
    <w:rsid w:val="00E1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89308-DE75-4A72-ACC7-36B78904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C72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C72D2"/>
    <w:rPr>
      <w:rFonts w:eastAsiaTheme="minorEastAsia"/>
      <w:color w:val="5A5A5A" w:themeColor="text1" w:themeTint="A5"/>
      <w:spacing w:val="15"/>
    </w:rPr>
  </w:style>
  <w:style w:type="paragraph" w:customStyle="1" w:styleId="docdata">
    <w:name w:val="docdata"/>
    <w:aliases w:val="docy,v5,148644,bqiaagaaeyqcaaagiaiaaanbqgiabwlcagaaaaaaaaaaaaaaaaaaaaaaaaaaaaaaaaaaaaaaaaaaaaaaaaaaaaaaaaaaaaaaaaaaaaaaaaaaaaaaaaaaaaaaaaaaaaaaaaaaaaaaaaaaaaaaaaaaaaaaaaaaaaaaaaaaaaaaaaaaaaaaaaaaaaaaaaaaaaaaaaaaaaaaaaaaaaaaaaaaaaaaaaaaaaaaaaaaaa"/>
    <w:basedOn w:val="a"/>
    <w:rsid w:val="002C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C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2024-01-23T07:09:00Z</cp:lastPrinted>
  <dcterms:created xsi:type="dcterms:W3CDTF">2024-01-23T06:19:00Z</dcterms:created>
  <dcterms:modified xsi:type="dcterms:W3CDTF">2024-01-23T07:46:00Z</dcterms:modified>
</cp:coreProperties>
</file>