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313225" w:rsidRDefault="00313225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561B" w:rsidRPr="004931D9" w:rsidRDefault="00E4561B" w:rsidP="003E54F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1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Отчет о работе</w:t>
      </w:r>
    </w:p>
    <w:p w:rsidR="00E4561B" w:rsidRPr="004931D9" w:rsidRDefault="00E4561B" w:rsidP="003E54F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1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Контрольно-счетной палаты</w:t>
      </w:r>
      <w:r w:rsidR="00336133" w:rsidRPr="004931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931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муниципального образования </w:t>
      </w:r>
    </w:p>
    <w:p w:rsidR="00E4561B" w:rsidRDefault="00E4561B" w:rsidP="003E54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31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Навлинский район за 201</w:t>
      </w:r>
      <w:r w:rsidR="006B1D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</w:t>
      </w:r>
      <w:r w:rsidRPr="004931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</w:t>
      </w:r>
    </w:p>
    <w:p w:rsidR="009545E6" w:rsidRDefault="00F36B02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(рассмотрен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районным Советом народных депутатов 29.04.2020 года, решение от 29.04.2020 №6-76)</w:t>
      </w: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Навля</w:t>
      </w:r>
    </w:p>
    <w:sdt>
      <w:sdtPr>
        <w:rPr>
          <w:rFonts w:ascii="Calibri" w:eastAsia="Calibri" w:hAnsi="Calibri" w:cs="Times New Roman"/>
          <w:bCs/>
          <w:noProof/>
          <w:sz w:val="28"/>
          <w:szCs w:val="28"/>
          <w:lang w:eastAsia="ru-RU"/>
        </w:rPr>
        <w:id w:val="-410542849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:rsidR="004931D9" w:rsidRPr="004931D9" w:rsidRDefault="004931D9" w:rsidP="004931D9">
          <w:pPr>
            <w:keepNext/>
            <w:keepLines/>
            <w:spacing w:line="360" w:lineRule="auto"/>
            <w:jc w:val="center"/>
            <w:rPr>
              <w:rFonts w:ascii="Times New Roman" w:hAnsi="Times New Roman" w:cs="Times New Roman"/>
              <w:noProof/>
              <w:szCs w:val="28"/>
            </w:rPr>
          </w:pPr>
          <w:r w:rsidRPr="004931D9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Содержание</w:t>
          </w:r>
          <w:r w:rsidRPr="004931D9">
            <w:rPr>
              <w:rFonts w:ascii="Times New Roman" w:eastAsia="Calibri" w:hAnsi="Times New Roman" w:cs="Times New Roman"/>
              <w:szCs w:val="28"/>
            </w:rPr>
            <w:fldChar w:fldCharType="begin"/>
          </w:r>
          <w:r w:rsidRPr="004931D9">
            <w:rPr>
              <w:rFonts w:ascii="Times New Roman" w:eastAsia="Calibri" w:hAnsi="Times New Roman" w:cs="Times New Roman"/>
              <w:szCs w:val="28"/>
            </w:rPr>
            <w:instrText xml:space="preserve"> TOC \o "1-3" \h \z \u </w:instrText>
          </w:r>
          <w:r w:rsidRPr="004931D9">
            <w:rPr>
              <w:rFonts w:ascii="Times New Roman" w:eastAsia="Calibri" w:hAnsi="Times New Roman" w:cs="Times New Roman"/>
              <w:szCs w:val="28"/>
            </w:rPr>
            <w:fldChar w:fldCharType="separate"/>
          </w:r>
        </w:p>
        <w:p w:rsidR="004931D9" w:rsidRPr="004931D9" w:rsidRDefault="002D330E" w:rsidP="004931D9">
          <w:pPr>
            <w:pStyle w:val="1"/>
            <w:rPr>
              <w:rFonts w:eastAsiaTheme="minorEastAsia"/>
            </w:rPr>
          </w:pPr>
          <w:hyperlink w:anchor="_Toc506574393" w:history="1">
            <w:r w:rsidR="004931D9" w:rsidRPr="004931D9">
              <w:rPr>
                <w:rStyle w:val="a9"/>
                <w:bCs w:val="0"/>
              </w:rPr>
              <w:t>1. Вводные положения</w:t>
            </w:r>
            <w:r w:rsidR="004931D9" w:rsidRPr="004931D9">
              <w:rPr>
                <w:webHidden/>
              </w:rPr>
              <w:tab/>
            </w:r>
          </w:hyperlink>
          <w:r w:rsidR="00187A2C">
            <w:t>3</w:t>
          </w:r>
        </w:p>
        <w:p w:rsidR="004931D9" w:rsidRPr="004931D9" w:rsidRDefault="002D330E" w:rsidP="004931D9">
          <w:pPr>
            <w:pStyle w:val="1"/>
            <w:rPr>
              <w:rFonts w:eastAsiaTheme="minorEastAsia"/>
            </w:rPr>
          </w:pPr>
          <w:hyperlink w:anchor="_Toc506574394" w:history="1">
            <w:r w:rsidR="004931D9" w:rsidRPr="004931D9">
              <w:rPr>
                <w:rStyle w:val="a9"/>
                <w:bCs w:val="0"/>
              </w:rPr>
              <w:t>2. Основные итоги работы Контрольно-счетной палаты в 201</w:t>
            </w:r>
            <w:r w:rsidR="004931D9">
              <w:rPr>
                <w:rStyle w:val="a9"/>
                <w:bCs w:val="0"/>
              </w:rPr>
              <w:t>8</w:t>
            </w:r>
            <w:r w:rsidR="004931D9" w:rsidRPr="004931D9">
              <w:rPr>
                <w:rStyle w:val="a9"/>
                <w:bCs w:val="0"/>
              </w:rPr>
              <w:t xml:space="preserve"> году</w:t>
            </w:r>
            <w:r w:rsidR="004931D9" w:rsidRPr="004931D9">
              <w:rPr>
                <w:webHidden/>
              </w:rPr>
              <w:tab/>
            </w:r>
          </w:hyperlink>
          <w:r w:rsidR="00187A2C">
            <w:t>3</w:t>
          </w:r>
        </w:p>
        <w:p w:rsidR="004931D9" w:rsidRPr="004931D9" w:rsidRDefault="002D330E" w:rsidP="004931D9">
          <w:pPr>
            <w:pStyle w:val="1"/>
            <w:rPr>
              <w:rFonts w:eastAsiaTheme="minorEastAsia"/>
            </w:rPr>
          </w:pPr>
          <w:hyperlink w:anchor="_Toc506574395" w:history="1">
            <w:r w:rsidR="004931D9" w:rsidRPr="004931D9">
              <w:rPr>
                <w:rStyle w:val="a9"/>
                <w:bCs w:val="0"/>
              </w:rPr>
              <w:t xml:space="preserve">3. Контроль за формированием и исполнением </w:t>
            </w:r>
            <w:r w:rsidR="004931D9">
              <w:rPr>
                <w:rStyle w:val="a9"/>
                <w:bCs w:val="0"/>
              </w:rPr>
              <w:t xml:space="preserve">районного </w:t>
            </w:r>
            <w:r w:rsidR="004931D9" w:rsidRPr="004931D9">
              <w:rPr>
                <w:rStyle w:val="a9"/>
                <w:bCs w:val="0"/>
              </w:rPr>
              <w:t>бюджета и бюджет</w:t>
            </w:r>
            <w:r w:rsidR="004931D9">
              <w:rPr>
                <w:rStyle w:val="a9"/>
                <w:bCs w:val="0"/>
              </w:rPr>
              <w:t>ов городских и сельских поселений</w:t>
            </w:r>
            <w:r w:rsidR="004931D9" w:rsidRPr="004931D9">
              <w:rPr>
                <w:webHidden/>
              </w:rPr>
              <w:tab/>
            </w:r>
          </w:hyperlink>
          <w:r w:rsidR="00DF4E4A">
            <w:t>7</w:t>
          </w:r>
        </w:p>
        <w:p w:rsidR="004931D9" w:rsidRPr="004931D9" w:rsidRDefault="002D330E" w:rsidP="004931D9">
          <w:pPr>
            <w:pStyle w:val="2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506574396" w:history="1">
            <w:r w:rsidR="004931D9" w:rsidRPr="004931D9">
              <w:rPr>
                <w:rStyle w:val="a9"/>
                <w:rFonts w:eastAsia="Times New Roman" w:cs="Times New Roman"/>
                <w:bCs/>
                <w:noProof/>
                <w:szCs w:val="28"/>
                <w:lang w:eastAsia="ru-RU"/>
              </w:rPr>
              <w:t>3.1. Предварительный контроль</w:t>
            </w:r>
            <w:r w:rsidR="004931D9" w:rsidRPr="004931D9">
              <w:rPr>
                <w:rFonts w:cs="Times New Roman"/>
                <w:noProof/>
                <w:webHidden/>
                <w:szCs w:val="28"/>
              </w:rPr>
              <w:tab/>
            </w:r>
          </w:hyperlink>
          <w:r w:rsidR="00DF4E4A">
            <w:rPr>
              <w:rFonts w:cs="Times New Roman"/>
              <w:noProof/>
              <w:szCs w:val="28"/>
            </w:rPr>
            <w:t>7</w:t>
          </w:r>
        </w:p>
        <w:p w:rsidR="004931D9" w:rsidRPr="004931D9" w:rsidRDefault="002D330E" w:rsidP="004931D9">
          <w:pPr>
            <w:pStyle w:val="2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506574397" w:history="1">
            <w:r w:rsidR="004931D9" w:rsidRPr="004931D9">
              <w:rPr>
                <w:rStyle w:val="a9"/>
                <w:rFonts w:eastAsia="Times New Roman" w:cs="Times New Roman"/>
                <w:bCs/>
                <w:noProof/>
                <w:szCs w:val="28"/>
                <w:lang w:eastAsia="ru-RU"/>
              </w:rPr>
              <w:t>3.2. Оперативный контроль</w:t>
            </w:r>
            <w:r w:rsidR="004931D9" w:rsidRPr="004931D9">
              <w:rPr>
                <w:rFonts w:cs="Times New Roman"/>
                <w:noProof/>
                <w:webHidden/>
                <w:szCs w:val="28"/>
              </w:rPr>
              <w:tab/>
            </w:r>
            <w:r w:rsidR="00DF4E4A">
              <w:rPr>
                <w:rFonts w:cs="Times New Roman"/>
                <w:noProof/>
                <w:webHidden/>
                <w:szCs w:val="28"/>
              </w:rPr>
              <w:t>8</w:t>
            </w:r>
          </w:hyperlink>
        </w:p>
        <w:p w:rsidR="004931D9" w:rsidRPr="004931D9" w:rsidRDefault="002D330E" w:rsidP="004931D9">
          <w:pPr>
            <w:pStyle w:val="2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506574398" w:history="1">
            <w:r w:rsidR="004931D9" w:rsidRPr="004931D9">
              <w:rPr>
                <w:rStyle w:val="a9"/>
                <w:rFonts w:eastAsia="Times New Roman" w:cs="Times New Roman"/>
                <w:bCs/>
                <w:noProof/>
                <w:szCs w:val="28"/>
                <w:lang w:eastAsia="ru-RU"/>
              </w:rPr>
              <w:t>3.3. Последующий контроль</w:t>
            </w:r>
            <w:r w:rsidR="004931D9" w:rsidRPr="004931D9">
              <w:rPr>
                <w:rFonts w:cs="Times New Roman"/>
                <w:noProof/>
                <w:webHidden/>
                <w:szCs w:val="28"/>
              </w:rPr>
              <w:tab/>
            </w:r>
          </w:hyperlink>
          <w:r w:rsidR="00DF4E4A">
            <w:rPr>
              <w:rFonts w:cs="Times New Roman"/>
              <w:noProof/>
              <w:szCs w:val="28"/>
            </w:rPr>
            <w:t>9</w:t>
          </w:r>
        </w:p>
        <w:p w:rsidR="004931D9" w:rsidRPr="004931D9" w:rsidRDefault="002D330E" w:rsidP="004931D9">
          <w:pPr>
            <w:pStyle w:val="1"/>
            <w:rPr>
              <w:rFonts w:eastAsiaTheme="minorEastAsia"/>
            </w:rPr>
          </w:pPr>
          <w:hyperlink w:anchor="_Toc506574399" w:history="1">
            <w:r w:rsidR="004931D9" w:rsidRPr="004931D9">
              <w:rPr>
                <w:rStyle w:val="a9"/>
              </w:rPr>
              <w:t>4. Краткая характеристика контрольных мероприятий</w:t>
            </w:r>
            <w:r w:rsidR="004931D9" w:rsidRPr="004931D9">
              <w:rPr>
                <w:webHidden/>
              </w:rPr>
              <w:tab/>
            </w:r>
            <w:r w:rsidR="00E065B1">
              <w:rPr>
                <w:webHidden/>
              </w:rPr>
              <w:t>1</w:t>
            </w:r>
            <w:r w:rsidR="00DF4E4A">
              <w:rPr>
                <w:webHidden/>
              </w:rPr>
              <w:t>0</w:t>
            </w:r>
          </w:hyperlink>
        </w:p>
        <w:p w:rsidR="004931D9" w:rsidRDefault="002D330E" w:rsidP="004931D9">
          <w:pPr>
            <w:pStyle w:val="1"/>
          </w:pPr>
          <w:hyperlink w:anchor="_Toc506574400" w:history="1">
            <w:r w:rsidR="004931D9" w:rsidRPr="004931D9">
              <w:rPr>
                <w:rStyle w:val="a9"/>
              </w:rPr>
              <w:t>5. Краткая характеристика экспертно-аналитических мероприятий</w:t>
            </w:r>
            <w:r w:rsidR="004931D9" w:rsidRPr="004931D9">
              <w:rPr>
                <w:webHidden/>
              </w:rPr>
              <w:tab/>
            </w:r>
            <w:r w:rsidR="00E065B1">
              <w:rPr>
                <w:webHidden/>
              </w:rPr>
              <w:t>12</w:t>
            </w:r>
          </w:hyperlink>
        </w:p>
        <w:p w:rsidR="004931D9" w:rsidRPr="004931D9" w:rsidRDefault="00E065B1" w:rsidP="00DF4E4A">
          <w:pPr>
            <w:rPr>
              <w:rFonts w:eastAsiaTheme="minorEastAsia"/>
            </w:rPr>
          </w:pPr>
          <w:r w:rsidRPr="00D42D71">
            <w:rPr>
              <w:rFonts w:ascii="Times New Roman" w:hAnsi="Times New Roman" w:cs="Times New Roman"/>
              <w:sz w:val="28"/>
              <w:szCs w:val="28"/>
              <w:lang w:eastAsia="ru-RU"/>
            </w:rPr>
            <w:t>6.</w:t>
          </w:r>
          <w:r w:rsidR="00D42D71" w:rsidRPr="00D42D71">
            <w:rPr>
              <w:rFonts w:ascii="Times New Roman" w:hAnsi="Times New Roman" w:cs="Times New Roman"/>
              <w:sz w:val="28"/>
              <w:szCs w:val="28"/>
              <w:lang w:eastAsia="ru-RU"/>
            </w:rPr>
            <w:t xml:space="preserve"> </w:t>
          </w:r>
          <w:hyperlink w:anchor="_Toc506574401" w:history="1">
            <w:r w:rsidR="004931D9" w:rsidRPr="00DF4E4A">
              <w:rPr>
                <w:rStyle w:val="a9"/>
                <w:rFonts w:ascii="Times New Roman" w:hAnsi="Times New Roman" w:cs="Times New Roman"/>
                <w:bCs/>
                <w:sz w:val="28"/>
                <w:szCs w:val="28"/>
              </w:rPr>
              <w:t>Взаимодействие Контрольно-счетной палаты с государственными и муниципальными органами</w:t>
            </w:r>
          </w:hyperlink>
          <w:r w:rsidR="00DF4E4A">
            <w:t>……………………………………………………………………………………………….</w:t>
          </w:r>
          <w:r w:rsidR="00DF4E4A" w:rsidRPr="00DF4E4A">
            <w:rPr>
              <w:rFonts w:ascii="Times New Roman" w:hAnsi="Times New Roman" w:cs="Times New Roman"/>
              <w:sz w:val="28"/>
              <w:szCs w:val="28"/>
            </w:rPr>
            <w:t>20</w:t>
          </w:r>
        </w:p>
        <w:p w:rsidR="004931D9" w:rsidRPr="004931D9" w:rsidRDefault="002D330E" w:rsidP="004931D9">
          <w:pPr>
            <w:pStyle w:val="1"/>
            <w:rPr>
              <w:rFonts w:eastAsiaTheme="minorEastAsia"/>
            </w:rPr>
          </w:pPr>
          <w:hyperlink w:anchor="_Toc506574402" w:history="1">
            <w:r w:rsidR="00DF4E4A">
              <w:rPr>
                <w:rStyle w:val="a9"/>
                <w:bCs w:val="0"/>
              </w:rPr>
              <w:t>7</w:t>
            </w:r>
            <w:r w:rsidR="004931D9" w:rsidRPr="004931D9">
              <w:rPr>
                <w:rStyle w:val="a9"/>
                <w:bCs w:val="0"/>
              </w:rPr>
              <w:t>. Информирование о деятельности Контрольно-счетной палаты</w:t>
            </w:r>
            <w:r w:rsidR="004931D9" w:rsidRPr="004931D9">
              <w:rPr>
                <w:webHidden/>
              </w:rPr>
              <w:tab/>
            </w:r>
            <w:r w:rsidR="004931D9" w:rsidRPr="004931D9">
              <w:rPr>
                <w:webHidden/>
              </w:rPr>
              <w:fldChar w:fldCharType="begin"/>
            </w:r>
            <w:r w:rsidR="004931D9" w:rsidRPr="004931D9">
              <w:rPr>
                <w:webHidden/>
              </w:rPr>
              <w:instrText xml:space="preserve"> PAGEREF _Toc506574402 \h </w:instrText>
            </w:r>
            <w:r w:rsidR="004931D9" w:rsidRPr="004931D9">
              <w:rPr>
                <w:webHidden/>
              </w:rPr>
            </w:r>
            <w:r w:rsidR="004931D9" w:rsidRPr="004931D9">
              <w:rPr>
                <w:webHidden/>
              </w:rPr>
              <w:fldChar w:fldCharType="end"/>
            </w:r>
          </w:hyperlink>
          <w:r w:rsidR="00DF4E4A">
            <w:t>2</w:t>
          </w:r>
          <w:r w:rsidR="00187A2C">
            <w:t>1</w:t>
          </w:r>
        </w:p>
        <w:p w:rsidR="004931D9" w:rsidRPr="004931D9" w:rsidRDefault="002D330E" w:rsidP="004931D9">
          <w:pPr>
            <w:pStyle w:val="1"/>
            <w:rPr>
              <w:rFonts w:eastAsiaTheme="minorEastAsia"/>
            </w:rPr>
          </w:pPr>
          <w:hyperlink w:anchor="_Toc506574403" w:history="1">
            <w:r w:rsidR="00DF4E4A">
              <w:rPr>
                <w:rStyle w:val="a9"/>
                <w:bCs w:val="0"/>
              </w:rPr>
              <w:t>8</w:t>
            </w:r>
            <w:r w:rsidR="004931D9" w:rsidRPr="004931D9">
              <w:rPr>
                <w:rStyle w:val="a9"/>
                <w:bCs w:val="0"/>
              </w:rPr>
              <w:t>. Обеспечение деятельности Контрольно-счетной палаты</w:t>
            </w:r>
            <w:r w:rsidR="004931D9" w:rsidRPr="004931D9">
              <w:rPr>
                <w:webHidden/>
              </w:rPr>
              <w:tab/>
            </w:r>
          </w:hyperlink>
          <w:r w:rsidR="00DF4E4A">
            <w:t>2</w:t>
          </w:r>
          <w:r w:rsidR="00187A2C">
            <w:t>1</w:t>
          </w:r>
        </w:p>
        <w:p w:rsidR="004931D9" w:rsidRDefault="002D330E" w:rsidP="00187A2C">
          <w:pPr>
            <w:pStyle w:val="1"/>
            <w:rPr>
              <w:rFonts w:eastAsia="Calibri"/>
            </w:rPr>
          </w:pPr>
          <w:hyperlink w:anchor="_Toc506574404" w:history="1">
            <w:r w:rsidR="00D42D71">
              <w:rPr>
                <w:rStyle w:val="a9"/>
              </w:rPr>
              <w:t>10</w:t>
            </w:r>
            <w:r w:rsidR="004931D9" w:rsidRPr="004931D9">
              <w:rPr>
                <w:rStyle w:val="a9"/>
              </w:rPr>
              <w:t>. Заключительные положения</w:t>
            </w:r>
            <w:r w:rsidR="004931D9" w:rsidRPr="004931D9">
              <w:rPr>
                <w:webHidden/>
              </w:rPr>
              <w:tab/>
            </w:r>
          </w:hyperlink>
          <w:r w:rsidR="004931D9" w:rsidRPr="004931D9">
            <w:rPr>
              <w:rFonts w:eastAsia="Calibri"/>
            </w:rPr>
            <w:fldChar w:fldCharType="end"/>
          </w:r>
          <w:r w:rsidR="00DF4E4A">
            <w:rPr>
              <w:rFonts w:eastAsia="Calibri"/>
            </w:rPr>
            <w:t>22</w:t>
          </w:r>
        </w:p>
      </w:sdtContent>
    </w:sdt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D9" w:rsidRDefault="004931D9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5B1" w:rsidRDefault="00E065B1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A2C" w:rsidRDefault="00187A2C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A2C" w:rsidRDefault="00187A2C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A2C" w:rsidRDefault="00187A2C" w:rsidP="00E4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E4A" w:rsidRPr="00DF4E4A" w:rsidRDefault="00DF4E4A" w:rsidP="00DF4E4A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E4A" w:rsidRPr="00DF4E4A" w:rsidRDefault="00DF4E4A" w:rsidP="00DF4E4A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1B" w:rsidRPr="000F23C7" w:rsidRDefault="004931D9" w:rsidP="003E54F0">
      <w:pPr>
        <w:pStyle w:val="a3"/>
        <w:numPr>
          <w:ilvl w:val="0"/>
          <w:numId w:val="17"/>
        </w:numP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Вводные положения</w:t>
      </w:r>
    </w:p>
    <w:p w:rsidR="00094AD6" w:rsidRPr="00094AD6" w:rsidRDefault="00E4561B" w:rsidP="003E54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палата </w:t>
      </w:r>
      <w:r w:rsidR="00094AD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«Навлинский район» 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(далее – Контрольно-счетная палата) осуществляет свою деятельность на основе Конституции Российской Федерации, Бюджетного кодекса Российской Федерации, федерального законодательства, </w:t>
      </w:r>
      <w:r w:rsidR="00FE6D30" w:rsidRPr="00094AD6">
        <w:rPr>
          <w:rFonts w:ascii="Times New Roman" w:eastAsia="Calibri" w:hAnsi="Times New Roman" w:cs="Times New Roman"/>
          <w:sz w:val="28"/>
          <w:szCs w:val="28"/>
        </w:rPr>
        <w:t>законов и иных нормативных правовых актов Брянской области</w:t>
      </w:r>
      <w:r w:rsidR="00FE6D30">
        <w:rPr>
          <w:rFonts w:ascii="Times New Roman" w:eastAsia="Calibri" w:hAnsi="Times New Roman" w:cs="Times New Roman"/>
          <w:sz w:val="28"/>
          <w:szCs w:val="28"/>
        </w:rPr>
        <w:t>,</w:t>
      </w:r>
      <w:r w:rsidR="00FE6D30" w:rsidRPr="00094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 w:rsidR="00094AD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«Навлинский район»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B7188" w:rsidRPr="002225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муниципальных нормативных правовых актов</w:t>
      </w:r>
      <w:r w:rsidR="004B7188" w:rsidRP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Навлинского района и на основании соглашений о передаче КСП района полномочий контрольно-счетных органов 13-ти поселений </w:t>
      </w:r>
      <w:r w:rsidR="004B718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B7188" w:rsidRP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авлинского района, подписанных между представительными органами района и поселений, входящих в состав муниципального образования Навлинский район</w:t>
      </w:r>
      <w:r w:rsidR="004B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6D30">
        <w:rPr>
          <w:rFonts w:ascii="Times New Roman" w:eastAsia="Calibri" w:hAnsi="Times New Roman" w:cs="Times New Roman"/>
          <w:sz w:val="28"/>
          <w:szCs w:val="28"/>
        </w:rPr>
        <w:t>Положения «О Контрольно – счетной палате муниципального образования «Навлинский район»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931D9">
        <w:rPr>
          <w:rFonts w:ascii="Times New Roman" w:eastAsia="Calibri" w:hAnsi="Times New Roman" w:cs="Times New Roman"/>
          <w:sz w:val="28"/>
          <w:szCs w:val="28"/>
        </w:rPr>
        <w:t>Контрольно-счетная палата образована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6D30">
        <w:rPr>
          <w:rFonts w:ascii="Times New Roman" w:eastAsia="Calibri" w:hAnsi="Times New Roman" w:cs="Times New Roman"/>
          <w:sz w:val="28"/>
          <w:szCs w:val="28"/>
        </w:rPr>
        <w:t>Навлинским</w:t>
      </w:r>
      <w:proofErr w:type="spellEnd"/>
      <w:r w:rsidR="00FE6D30">
        <w:rPr>
          <w:rFonts w:ascii="Times New Roman" w:eastAsia="Calibri" w:hAnsi="Times New Roman" w:cs="Times New Roman"/>
          <w:sz w:val="28"/>
          <w:szCs w:val="28"/>
        </w:rPr>
        <w:t xml:space="preserve"> районным Советом народных депутатов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 и е</w:t>
      </w:r>
      <w:r w:rsidR="00FE6D30">
        <w:rPr>
          <w:rFonts w:ascii="Times New Roman" w:eastAsia="Calibri" w:hAnsi="Times New Roman" w:cs="Times New Roman"/>
          <w:sz w:val="28"/>
          <w:szCs w:val="28"/>
        </w:rPr>
        <w:t>му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 подотчетна. </w:t>
      </w:r>
      <w:r w:rsidR="00FE6D30">
        <w:rPr>
          <w:rFonts w:ascii="Times New Roman" w:eastAsia="Calibri" w:hAnsi="Times New Roman" w:cs="Times New Roman"/>
          <w:sz w:val="28"/>
          <w:szCs w:val="28"/>
        </w:rPr>
        <w:t>Положением «О Контрольно – счетной палате муниципального образования «Навлинский район»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 определен статус Контрольно-счетной палаты </w:t>
      </w:r>
      <w:r w:rsidR="00FE6D30">
        <w:rPr>
          <w:rFonts w:ascii="Times New Roman" w:eastAsia="Calibri" w:hAnsi="Times New Roman" w:cs="Times New Roman"/>
          <w:sz w:val="28"/>
          <w:szCs w:val="28"/>
        </w:rPr>
        <w:t>Навлинского района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 как постоянно действующего органа внешнего </w:t>
      </w:r>
      <w:r w:rsidR="00FE6D30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094AD6" w:rsidRPr="00094AD6">
        <w:rPr>
          <w:rFonts w:ascii="Times New Roman" w:eastAsia="Calibri" w:hAnsi="Times New Roman" w:cs="Times New Roman"/>
          <w:sz w:val="28"/>
          <w:szCs w:val="28"/>
        </w:rPr>
        <w:t xml:space="preserve"> финансового контроля.</w:t>
      </w:r>
    </w:p>
    <w:p w:rsidR="002225E1" w:rsidRDefault="002225E1" w:rsidP="003E5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отчёт о деятельности Контрольно-счетной палаты за 201</w:t>
      </w:r>
      <w:r w:rsidR="006B1D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2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Отчет) представлен в </w:t>
      </w:r>
      <w:r w:rsidRP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Навлинский районный Совет народных депутатов</w:t>
      </w:r>
      <w:r w:rsidRPr="0022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на основании результатов,  проведенных контрольных и экспертно-аналитических мероприятий, вытекающих из них выводов, рекомендаций и</w:t>
      </w:r>
      <w:r w:rsidR="00C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</w:t>
      </w:r>
      <w:r w:rsidR="006B1DC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жений Контрольно-счетной палаты</w:t>
      </w:r>
      <w:r w:rsidR="00C83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5E1" w:rsidRPr="00C8370A" w:rsidRDefault="00EF409F" w:rsidP="003E54F0">
      <w:pPr>
        <w:pStyle w:val="a3"/>
        <w:numPr>
          <w:ilvl w:val="0"/>
          <w:numId w:val="17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Основные итоги работы Контрольно-счетной палаты</w:t>
      </w:r>
      <w:r w:rsidR="00607460" w:rsidRPr="00C837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C837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в 201</w:t>
      </w:r>
      <w:r w:rsidR="006B1DC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9</w:t>
      </w:r>
      <w:r w:rsidRPr="00C837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году</w:t>
      </w:r>
    </w:p>
    <w:p w:rsidR="00426B76" w:rsidRDefault="00E4561B" w:rsidP="003E5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работы, в целях реализации полномочий контрольно-счетного органа, </w:t>
      </w:r>
      <w:r w:rsidR="006F3BDF"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 Федеральным</w:t>
      </w:r>
      <w:r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07.02.2011 № 6-ФЗ «Об общих принципах организации деятельности </w:t>
      </w:r>
      <w:r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контрольно-счетных органов субъектов Российской Федерации и муниципальных образований</w:t>
      </w:r>
      <w:r w:rsidR="006F3BDF"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Бюджетным</w:t>
      </w:r>
      <w:r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 Контрольно-счетной </w:t>
      </w:r>
      <w:r w:rsidR="006F3BDF"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палатой</w:t>
      </w:r>
      <w:r w:rsidR="00D7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BDF"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</w:t>
      </w:r>
      <w:r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DC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F3BDF" w:rsidRPr="00E4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контрольных и </w:t>
      </w:r>
      <w:proofErr w:type="spellStart"/>
      <w:r w:rsidR="00426B7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</w:t>
      </w:r>
      <w:proofErr w:type="spellEnd"/>
      <w:r w:rsidR="0042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аналитических </w:t>
      </w:r>
      <w:r w:rsidR="00D75F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030FE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7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</w:t>
      </w:r>
    </w:p>
    <w:p w:rsidR="00B65B19" w:rsidRDefault="00426B76" w:rsidP="003E54F0">
      <w:pPr>
        <w:pStyle w:val="a3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370A" w:rsidRPr="00426B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5FD6" w:rsidRPr="0042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61B" w:rsidRPr="00426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в рамках которого охвачено 2 объекта, общий объем проверенных средств составил </w:t>
      </w:r>
      <w:r w:rsidR="006B1DCE">
        <w:rPr>
          <w:rFonts w:ascii="Times New Roman" w:eastAsia="Times New Roman" w:hAnsi="Times New Roman" w:cs="Times New Roman"/>
          <w:sz w:val="28"/>
          <w:szCs w:val="28"/>
          <w:lang w:eastAsia="ru-RU"/>
        </w:rPr>
        <w:t>31 286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4047" w:rsidRDefault="00954047" w:rsidP="003E54F0">
      <w:pPr>
        <w:pStyle w:val="a3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рамках контрольных мероприятий проведено 2 аудита в сфере закупок</w:t>
      </w:r>
      <w:r w:rsidR="00EB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проверено 10 закупок на общую сумму 6 316,4 тыс. рублей; </w:t>
      </w:r>
    </w:p>
    <w:p w:rsidR="004B7794" w:rsidRPr="00426B76" w:rsidRDefault="00B65B19" w:rsidP="003E54F0">
      <w:pPr>
        <w:pStyle w:val="a3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1DC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</w:t>
      </w:r>
      <w:proofErr w:type="spellEnd"/>
      <w:r w:rsidR="00EB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аналитических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котор</w:t>
      </w:r>
      <w:r w:rsidR="00EB6BA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охвачено </w:t>
      </w:r>
      <w:r w:rsidR="006B1DCE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объектов.</w:t>
      </w:r>
    </w:p>
    <w:p w:rsidR="004B7794" w:rsidRDefault="00B65B19" w:rsidP="003E5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Кроме того, </w:t>
      </w:r>
      <w:r w:rsidR="004B7794" w:rsidRPr="00D75F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проведена экспертиза</w:t>
      </w:r>
      <w:r w:rsidR="004B77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EB6B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проектов </w:t>
      </w:r>
      <w:r w:rsidR="006B1D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20</w:t>
      </w:r>
      <w:r w:rsidR="004B77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муниципальных программ, из них: </w:t>
      </w:r>
      <w:r w:rsidR="00EB6B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</w:t>
      </w:r>
      <w:r w:rsidR="004B77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муниципальных </w:t>
      </w:r>
      <w:r w:rsidR="004B7794" w:rsidRPr="00D75F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программ </w:t>
      </w:r>
      <w:r w:rsidR="00EB6B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подготовке заключений на проекты решений о бюджете на 2020 - 2022 годы</w:t>
      </w:r>
      <w:r w:rsidR="004B77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1</w:t>
      </w:r>
      <w:r w:rsidR="00EB6B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</w:t>
      </w:r>
      <w:r w:rsidR="004B77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муниципальных программ </w:t>
      </w:r>
      <w:r w:rsidR="00EB6B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подготовке заключений на проекты решений об исполнении бюджетов за 2018 год.</w:t>
      </w:r>
      <w:r w:rsidR="004B77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проведенн</w:t>
      </w:r>
      <w:r w:rsidR="00EB6B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ых</w:t>
      </w:r>
      <w:r w:rsidR="004B77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экспертиз направлено </w:t>
      </w:r>
      <w:r w:rsidR="00B030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</w:t>
      </w:r>
      <w:r w:rsidR="004B77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предложений о внесении </w:t>
      </w:r>
      <w:r w:rsidR="00835C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изменений, которые реализованы в полном объеме</w:t>
      </w:r>
      <w:r w:rsidR="004B77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 </w:t>
      </w:r>
      <w:r w:rsidR="007F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4047" w:rsidRDefault="00D75FD6" w:rsidP="003E5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Кроме того, Контрольно-счетной палатой в 201</w:t>
      </w:r>
      <w:r w:rsidR="0095404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</w:t>
      </w:r>
      <w:r w:rsidRPr="00D75F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="009478E9" w:rsidRPr="0094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одготовлено </w:t>
      </w:r>
      <w:r w:rsidR="00486B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направлено в районный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городские и сельские С</w:t>
      </w:r>
      <w:r w:rsidR="00486B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8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94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8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проекты решений о внесении изменений в решение о бюджете муниципальн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8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4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4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48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78E9" w:rsidRPr="0094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проектам нормативных правовых актов органов местного самоуправления</w:t>
      </w:r>
      <w:r w:rsid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</w:t>
      </w:r>
      <w:r w:rsidR="00835C8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оформленных з</w:t>
      </w:r>
      <w:r w:rsid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</w:t>
      </w:r>
      <w:r w:rsidR="00A0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 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</w:t>
      </w:r>
      <w:r w:rsidR="00A07C6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4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 w:rsidR="00A07C6E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9540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B19" w:rsidRPr="00B65B19" w:rsidRDefault="00B65B19" w:rsidP="003E54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контрольных и экспертно-аналитических мероприятий особое внимание уделялось вопросам </w:t>
      </w:r>
      <w:r w:rsidRPr="00B65B19">
        <w:rPr>
          <w:rFonts w:ascii="Times New Roman" w:eastAsia="Calibri" w:hAnsi="Times New Roman" w:cs="Times New Roman"/>
          <w:sz w:val="28"/>
          <w:szCs w:val="28"/>
        </w:rPr>
        <w:t>законности и эффективности (экономности и результативности) использования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 и имущества муниципальной собственности, предоставления </w:t>
      </w:r>
      <w:r w:rsidRPr="00B65B1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налоговых льгот и преференций, а также вопросам соблюдения объектами аудита (контроля) требований Федеральных законов от 5 апреля 2013 года № 44-ФЗ «О </w:t>
      </w:r>
      <w:r w:rsidRPr="00B65B1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контрактной системе в сфере закупок товаров, работ, услуг для обеспечения государственных и муниципальных нужд».</w:t>
      </w:r>
    </w:p>
    <w:p w:rsidR="00B65B19" w:rsidRPr="00B65B19" w:rsidRDefault="00B65B19" w:rsidP="003E54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совместного решения Президиума Совета контрольно-счетных органов при Счетной палате Российской Федерации и Совета контрольно-счетных органов при Счетной палате Российской Федерации (протокол совместного заседания от 14 декабря 2017 года № 6-СКСО), информация о выявленных нарушениях отражена в </w:t>
      </w:r>
      <w:r w:rsidRPr="00B65B19">
        <w:rPr>
          <w:rFonts w:ascii="Times New Roman" w:eastAsia="Calibri" w:hAnsi="Times New Roman" w:cs="Times New Roman"/>
          <w:sz w:val="28"/>
          <w:szCs w:val="28"/>
        </w:rPr>
        <w:t xml:space="preserve">отчете о работе Контрольно-счетной палаты </w:t>
      </w:r>
      <w:r>
        <w:rPr>
          <w:rFonts w:ascii="Times New Roman" w:eastAsia="Calibri" w:hAnsi="Times New Roman" w:cs="Times New Roman"/>
          <w:sz w:val="28"/>
          <w:szCs w:val="28"/>
        </w:rPr>
        <w:t>Навлинского района</w:t>
      </w:r>
      <w:r w:rsidRPr="00B65B19">
        <w:rPr>
          <w:rFonts w:ascii="Times New Roman" w:eastAsia="Calibri" w:hAnsi="Times New Roman" w:cs="Times New Roman"/>
          <w:sz w:val="28"/>
          <w:szCs w:val="28"/>
        </w:rPr>
        <w:t xml:space="preserve"> в 201</w:t>
      </w:r>
      <w:r w:rsidR="00835C85">
        <w:rPr>
          <w:rFonts w:ascii="Times New Roman" w:eastAsia="Calibri" w:hAnsi="Times New Roman" w:cs="Times New Roman"/>
          <w:sz w:val="28"/>
          <w:szCs w:val="28"/>
        </w:rPr>
        <w:t>9</w:t>
      </w:r>
      <w:r w:rsidRPr="00B65B19">
        <w:rPr>
          <w:rFonts w:ascii="Times New Roman" w:eastAsia="Calibri" w:hAnsi="Times New Roman" w:cs="Times New Roman"/>
          <w:sz w:val="28"/>
          <w:szCs w:val="28"/>
        </w:rPr>
        <w:t xml:space="preserve"> году по структуре Классификатора нарушений, выявляемых в ходе внешнего государственного аудита (контроля), одобренного Советом контрольно-счетных органов при Счетной палате </w:t>
      </w:r>
      <w:r w:rsidRPr="00B65B19">
        <w:rPr>
          <w:rFonts w:ascii="Times New Roman" w:eastAsia="Calibri" w:hAnsi="Times New Roman" w:cs="Times New Roman"/>
          <w:sz w:val="28"/>
        </w:rPr>
        <w:t>Российской Федерации</w:t>
      </w:r>
      <w:r w:rsidRPr="00B65B19">
        <w:rPr>
          <w:rFonts w:ascii="Times New Roman" w:eastAsia="Calibri" w:hAnsi="Times New Roman" w:cs="Times New Roman"/>
          <w:sz w:val="28"/>
          <w:szCs w:val="28"/>
        </w:rPr>
        <w:t xml:space="preserve"> (протокол от 17 декабря 2014 года № 2-СКСО, в редакции от 22 декабря 2015 года) (далее – Классификатор нарушений).</w:t>
      </w:r>
    </w:p>
    <w:p w:rsidR="00B65B19" w:rsidRDefault="00B65B19" w:rsidP="003E54F0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проведенных 2 контрольных и </w:t>
      </w:r>
      <w:r w:rsidR="00835C8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экспертно-аналитических мероприятий установлено </w:t>
      </w:r>
      <w:r w:rsidR="00835C85"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835C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 видам нарушений </w:t>
      </w:r>
      <w:r w:rsidR="00DB2289"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Классификатором нарушений, на общую сумму </w:t>
      </w:r>
      <w:r w:rsidR="00835C85">
        <w:rPr>
          <w:rFonts w:ascii="Times New Roman" w:eastAsia="Times New Roman" w:hAnsi="Times New Roman" w:cs="Times New Roman"/>
          <w:sz w:val="28"/>
          <w:szCs w:val="28"/>
          <w:lang w:eastAsia="ru-RU"/>
        </w:rPr>
        <w:t>7 100,7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384494"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 w:rsidR="003844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допущенных в 201</w:t>
      </w:r>
      <w:r w:rsidR="00D944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A906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4443">
        <w:rPr>
          <w:rFonts w:ascii="Times New Roman" w:eastAsia="Times New Roman" w:hAnsi="Times New Roman" w:cs="Times New Roman"/>
          <w:sz w:val="28"/>
          <w:szCs w:val="28"/>
          <w:lang w:eastAsia="ru-RU"/>
        </w:rPr>
        <w:t> 522,5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 201</w:t>
      </w:r>
      <w:r w:rsidR="00D944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году – </w:t>
      </w:r>
      <w:r w:rsidR="00D94443">
        <w:rPr>
          <w:rFonts w:ascii="Times New Roman" w:eastAsia="Times New Roman" w:hAnsi="Times New Roman" w:cs="Times New Roman"/>
          <w:sz w:val="28"/>
          <w:szCs w:val="28"/>
          <w:lang w:eastAsia="ru-RU"/>
        </w:rPr>
        <w:t>5 578,2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06E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  <w:r w:rsidRPr="00B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в разрезе видов нарушений </w:t>
      </w:r>
      <w:r w:rsidRPr="00B65B19">
        <w:rPr>
          <w:rFonts w:ascii="Times New Roman" w:eastAsia="Calibri" w:hAnsi="Times New Roman" w:cs="Times New Roman"/>
          <w:sz w:val="28"/>
          <w:szCs w:val="28"/>
        </w:rPr>
        <w:t xml:space="preserve">по структуре Классификатора нарушений, выявляемых в ходе внешнего </w:t>
      </w:r>
      <w:r w:rsidR="00384494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B65B19">
        <w:rPr>
          <w:rFonts w:ascii="Times New Roman" w:eastAsia="Calibri" w:hAnsi="Times New Roman" w:cs="Times New Roman"/>
          <w:sz w:val="28"/>
          <w:szCs w:val="28"/>
        </w:rPr>
        <w:t xml:space="preserve"> аудита (контроля), представлена в следующей таблице.</w:t>
      </w:r>
    </w:p>
    <w:tbl>
      <w:tblPr>
        <w:tblStyle w:val="aa"/>
        <w:tblW w:w="95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47"/>
        <w:gridCol w:w="3261"/>
        <w:gridCol w:w="850"/>
        <w:gridCol w:w="1021"/>
        <w:gridCol w:w="879"/>
        <w:gridCol w:w="851"/>
        <w:gridCol w:w="1290"/>
      </w:tblGrid>
      <w:tr w:rsidR="00A906E6" w:rsidRPr="00A906E6" w:rsidTr="00DB2289">
        <w:trPr>
          <w:tblHeader/>
        </w:trPr>
        <w:tc>
          <w:tcPr>
            <w:tcW w:w="1447" w:type="dxa"/>
            <w:vMerge w:val="restart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№ </w:t>
            </w:r>
            <w:r w:rsidR="0009103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позиции нарушения 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по</w:t>
            </w:r>
          </w:p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Классификатору</w:t>
            </w:r>
          </w:p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нарушений</w:t>
            </w:r>
          </w:p>
        </w:tc>
        <w:tc>
          <w:tcPr>
            <w:tcW w:w="3261" w:type="dxa"/>
            <w:vMerge w:val="restart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Виды нарушений</w:t>
            </w:r>
          </w:p>
        </w:tc>
        <w:tc>
          <w:tcPr>
            <w:tcW w:w="1871" w:type="dxa"/>
            <w:gridSpan w:val="2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Общий объем нарушений</w:t>
            </w:r>
          </w:p>
        </w:tc>
        <w:tc>
          <w:tcPr>
            <w:tcW w:w="3020" w:type="dxa"/>
            <w:gridSpan w:val="3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 том числе средства:</w:t>
            </w:r>
          </w:p>
        </w:tc>
      </w:tr>
      <w:tr w:rsidR="00A906E6" w:rsidRPr="00A906E6" w:rsidTr="00DB2289">
        <w:trPr>
          <w:tblHeader/>
        </w:trPr>
        <w:tc>
          <w:tcPr>
            <w:tcW w:w="1447" w:type="dxa"/>
            <w:vMerge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Кол-во, ед.</w:t>
            </w:r>
          </w:p>
        </w:tc>
        <w:tc>
          <w:tcPr>
            <w:tcW w:w="102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Сумма, тыс.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879" w:type="dxa"/>
            <w:vAlign w:val="center"/>
          </w:tcPr>
          <w:p w:rsidR="00A906E6" w:rsidRPr="00A906E6" w:rsidRDefault="00A906E6" w:rsidP="00D94443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201</w:t>
            </w:r>
            <w:r w:rsidR="00D94443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9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851" w:type="dxa"/>
            <w:vAlign w:val="center"/>
          </w:tcPr>
          <w:p w:rsidR="00A906E6" w:rsidRPr="00A906E6" w:rsidRDefault="00A906E6" w:rsidP="00D94443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201</w:t>
            </w:r>
            <w:r w:rsidR="00D94443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8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290" w:type="dxa"/>
            <w:vAlign w:val="center"/>
          </w:tcPr>
          <w:p w:rsidR="00A906E6" w:rsidRPr="00A906E6" w:rsidRDefault="00A906E6" w:rsidP="00D94443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до 201</w:t>
            </w:r>
            <w:r w:rsidR="00D94443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7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года включительно</w:t>
            </w:r>
          </w:p>
        </w:tc>
      </w:tr>
      <w:tr w:rsidR="00A906E6" w:rsidRPr="00A906E6" w:rsidTr="00DB2289">
        <w:tc>
          <w:tcPr>
            <w:tcW w:w="4708" w:type="dxa"/>
            <w:gridSpan w:val="2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850" w:type="dxa"/>
            <w:shd w:val="clear" w:color="auto" w:fill="D6E3BC"/>
          </w:tcPr>
          <w:p w:rsidR="00A906E6" w:rsidRPr="00A906E6" w:rsidRDefault="00D94443" w:rsidP="00D94443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1021" w:type="dxa"/>
            <w:shd w:val="clear" w:color="auto" w:fill="D6E3BC"/>
          </w:tcPr>
          <w:p w:rsidR="00A906E6" w:rsidRPr="00A906E6" w:rsidRDefault="00D94443" w:rsidP="00D94443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7 100,7</w:t>
            </w:r>
          </w:p>
        </w:tc>
        <w:tc>
          <w:tcPr>
            <w:tcW w:w="879" w:type="dxa"/>
            <w:shd w:val="clear" w:color="auto" w:fill="D6E3BC"/>
          </w:tcPr>
          <w:p w:rsidR="00A906E6" w:rsidRPr="00A906E6" w:rsidRDefault="00A906E6" w:rsidP="00D94443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1</w:t>
            </w:r>
            <w:r w:rsidR="00D94443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 522,5</w:t>
            </w:r>
          </w:p>
        </w:tc>
        <w:tc>
          <w:tcPr>
            <w:tcW w:w="851" w:type="dxa"/>
            <w:shd w:val="clear" w:color="auto" w:fill="D6E3BC"/>
          </w:tcPr>
          <w:p w:rsidR="00A906E6" w:rsidRPr="00A906E6" w:rsidRDefault="00D94443" w:rsidP="00D94443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5 578,2</w:t>
            </w:r>
          </w:p>
        </w:tc>
        <w:tc>
          <w:tcPr>
            <w:tcW w:w="1290" w:type="dxa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61" w:type="dxa"/>
            <w:shd w:val="clear" w:color="auto" w:fill="D6E3BC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850" w:type="dxa"/>
            <w:shd w:val="clear" w:color="auto" w:fill="D6E3BC"/>
            <w:vAlign w:val="center"/>
          </w:tcPr>
          <w:p w:rsidR="00A906E6" w:rsidRPr="00A30BE3" w:rsidRDefault="00D94443" w:rsidP="00D94443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30BE3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21" w:type="dxa"/>
            <w:shd w:val="clear" w:color="auto" w:fill="D6E3BC"/>
            <w:vAlign w:val="center"/>
          </w:tcPr>
          <w:p w:rsidR="00A906E6" w:rsidRPr="00A30BE3" w:rsidRDefault="00036471" w:rsidP="0003647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30BE3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1 779,7</w:t>
            </w:r>
          </w:p>
        </w:tc>
        <w:tc>
          <w:tcPr>
            <w:tcW w:w="879" w:type="dxa"/>
            <w:shd w:val="clear" w:color="auto" w:fill="D6E3BC"/>
            <w:vAlign w:val="center"/>
          </w:tcPr>
          <w:p w:rsidR="00A906E6" w:rsidRPr="00A30BE3" w:rsidRDefault="00604E5A" w:rsidP="0003647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30BE3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  <w:r w:rsidR="00036471" w:rsidRPr="00A30BE3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521,5</w:t>
            </w:r>
          </w:p>
        </w:tc>
        <w:tc>
          <w:tcPr>
            <w:tcW w:w="851" w:type="dxa"/>
            <w:shd w:val="clear" w:color="auto" w:fill="D6E3BC"/>
            <w:vAlign w:val="center"/>
          </w:tcPr>
          <w:p w:rsidR="00A906E6" w:rsidRPr="00A30BE3" w:rsidRDefault="00036471" w:rsidP="0003647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30BE3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258,2</w:t>
            </w:r>
          </w:p>
        </w:tc>
        <w:tc>
          <w:tcPr>
            <w:tcW w:w="1290" w:type="dxa"/>
            <w:shd w:val="clear" w:color="auto" w:fill="D6E3BC"/>
            <w:vAlign w:val="center"/>
          </w:tcPr>
          <w:p w:rsidR="00A906E6" w:rsidRPr="00CE1E22" w:rsidRDefault="00A906E6" w:rsidP="00A906E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261" w:type="dxa"/>
            <w:shd w:val="clear" w:color="auto" w:fill="D6E3BC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Нарушения в ходе формирования бюджетов</w:t>
            </w:r>
          </w:p>
        </w:tc>
        <w:tc>
          <w:tcPr>
            <w:tcW w:w="850" w:type="dxa"/>
            <w:shd w:val="clear" w:color="auto" w:fill="D6E3BC"/>
            <w:vAlign w:val="center"/>
          </w:tcPr>
          <w:p w:rsidR="00A906E6" w:rsidRPr="00A906E6" w:rsidRDefault="00976C99" w:rsidP="00976C99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21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091031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1.1.1</w:t>
            </w:r>
            <w:r w:rsidR="00A906E6"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A906E6" w:rsidRPr="00A906E6" w:rsidRDefault="00091031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9103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порядка и сроков составления и (или) представления проектов бюджетов бюджетной системы РФ</w:t>
            </w:r>
          </w:p>
        </w:tc>
        <w:tc>
          <w:tcPr>
            <w:tcW w:w="850" w:type="dxa"/>
            <w:vAlign w:val="center"/>
          </w:tcPr>
          <w:p w:rsidR="00A906E6" w:rsidRPr="00A906E6" w:rsidRDefault="00DE1F70" w:rsidP="007D1149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  <w:r w:rsidR="007D1149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210192" w:rsidRPr="00A906E6" w:rsidTr="00DB2289">
        <w:tc>
          <w:tcPr>
            <w:tcW w:w="1447" w:type="dxa"/>
          </w:tcPr>
          <w:p w:rsidR="00210192" w:rsidRDefault="0021019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3261" w:type="dxa"/>
          </w:tcPr>
          <w:p w:rsidR="00210192" w:rsidRPr="00091031" w:rsidRDefault="00210192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210192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порядка применения бюджетной классификации РФ</w:t>
            </w:r>
          </w:p>
        </w:tc>
        <w:tc>
          <w:tcPr>
            <w:tcW w:w="850" w:type="dxa"/>
            <w:vAlign w:val="center"/>
          </w:tcPr>
          <w:p w:rsidR="00210192" w:rsidRPr="00A906E6" w:rsidRDefault="00210192" w:rsidP="00D94443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1" w:type="dxa"/>
            <w:vAlign w:val="center"/>
          </w:tcPr>
          <w:p w:rsidR="00210192" w:rsidRPr="00A906E6" w:rsidRDefault="0021019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210192" w:rsidRPr="00A906E6" w:rsidRDefault="0021019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10192" w:rsidRPr="00A906E6" w:rsidRDefault="0021019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210192" w:rsidRPr="00A906E6" w:rsidRDefault="0021019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210192" w:rsidRPr="00A906E6" w:rsidTr="00DB2289">
        <w:tc>
          <w:tcPr>
            <w:tcW w:w="1447" w:type="dxa"/>
          </w:tcPr>
          <w:p w:rsidR="00210192" w:rsidRDefault="0021019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3261" w:type="dxa"/>
          </w:tcPr>
          <w:p w:rsidR="00210192" w:rsidRPr="00210192" w:rsidRDefault="00210192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210192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Несоответствие (отсутствие) документов и материалов, представляемых одновременно с проектом бюджета, требованиям законодательства</w:t>
            </w:r>
          </w:p>
        </w:tc>
        <w:tc>
          <w:tcPr>
            <w:tcW w:w="850" w:type="dxa"/>
            <w:vAlign w:val="center"/>
          </w:tcPr>
          <w:p w:rsidR="00210192" w:rsidRDefault="00DE1F70" w:rsidP="00DE1F7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1" w:type="dxa"/>
            <w:vAlign w:val="center"/>
          </w:tcPr>
          <w:p w:rsidR="00210192" w:rsidRPr="00A906E6" w:rsidRDefault="0021019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210192" w:rsidRPr="00A906E6" w:rsidRDefault="0021019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10192" w:rsidRPr="00A906E6" w:rsidRDefault="0021019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210192" w:rsidRPr="00A906E6" w:rsidRDefault="0021019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C70A65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1.1.</w:t>
            </w:r>
            <w:r w:rsidR="00C70A6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13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A906E6" w:rsidRPr="00A906E6" w:rsidRDefault="00C70A65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C70A6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порядка формирования бюджетных ассигнований дорожных фондов</w:t>
            </w:r>
          </w:p>
        </w:tc>
        <w:tc>
          <w:tcPr>
            <w:tcW w:w="850" w:type="dxa"/>
            <w:vAlign w:val="center"/>
          </w:tcPr>
          <w:p w:rsidR="00A906E6" w:rsidRPr="00A906E6" w:rsidRDefault="00C70A65" w:rsidP="0009103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091031" w:rsidRPr="00A906E6" w:rsidTr="00DB2289">
        <w:tc>
          <w:tcPr>
            <w:tcW w:w="1447" w:type="dxa"/>
          </w:tcPr>
          <w:p w:rsidR="00091031" w:rsidRPr="00A906E6" w:rsidRDefault="00091031" w:rsidP="006B570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1.1.18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091031" w:rsidRPr="00A906E6" w:rsidRDefault="00091031" w:rsidP="006B570A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9103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Нарушение порядка принятия решений о разработке государственных </w:t>
            </w:r>
            <w:r w:rsidRPr="0009103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lastRenderedPageBreak/>
              <w:t>(муниципальных) программ, их формирования и оценки их планируемой эффективности государственных (муниципальных) программ</w:t>
            </w:r>
          </w:p>
        </w:tc>
        <w:tc>
          <w:tcPr>
            <w:tcW w:w="850" w:type="dxa"/>
            <w:vAlign w:val="center"/>
          </w:tcPr>
          <w:p w:rsidR="00091031" w:rsidRPr="00A906E6" w:rsidRDefault="00C70A65" w:rsidP="006B570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021" w:type="dxa"/>
            <w:vAlign w:val="center"/>
          </w:tcPr>
          <w:p w:rsidR="00091031" w:rsidRPr="00A906E6" w:rsidRDefault="00091031" w:rsidP="006B570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091031" w:rsidRPr="00A906E6" w:rsidRDefault="00091031" w:rsidP="006B570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91031" w:rsidRPr="00A906E6" w:rsidRDefault="00091031" w:rsidP="006B570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091031" w:rsidRPr="00A906E6" w:rsidRDefault="00091031" w:rsidP="006B570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lastRenderedPageBreak/>
              <w:t>1.2.</w:t>
            </w:r>
          </w:p>
        </w:tc>
        <w:tc>
          <w:tcPr>
            <w:tcW w:w="3261" w:type="dxa"/>
            <w:shd w:val="clear" w:color="auto" w:fill="D6E3BC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Нарушения в ходе исполнения бюджетов</w:t>
            </w:r>
          </w:p>
        </w:tc>
        <w:tc>
          <w:tcPr>
            <w:tcW w:w="850" w:type="dxa"/>
            <w:shd w:val="clear" w:color="auto" w:fill="D6E3BC"/>
            <w:vAlign w:val="center"/>
          </w:tcPr>
          <w:p w:rsidR="00A906E6" w:rsidRPr="00036471" w:rsidRDefault="00604E5A" w:rsidP="00E177A8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3647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7</w:t>
            </w:r>
            <w:r w:rsidR="00E177A8" w:rsidRPr="0003647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1" w:type="dxa"/>
            <w:shd w:val="clear" w:color="auto" w:fill="D6E3BC"/>
            <w:vAlign w:val="center"/>
          </w:tcPr>
          <w:p w:rsidR="00A906E6" w:rsidRPr="00036471" w:rsidRDefault="00E177A8" w:rsidP="00E177A8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3647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1 779,7</w:t>
            </w:r>
          </w:p>
        </w:tc>
        <w:tc>
          <w:tcPr>
            <w:tcW w:w="879" w:type="dxa"/>
            <w:shd w:val="clear" w:color="auto" w:fill="D6E3BC"/>
            <w:vAlign w:val="center"/>
          </w:tcPr>
          <w:p w:rsidR="00A906E6" w:rsidRPr="00036471" w:rsidRDefault="00604E5A" w:rsidP="00E177A8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3647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  <w:r w:rsidR="00E177A8" w:rsidRPr="0003647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521,5</w:t>
            </w:r>
          </w:p>
        </w:tc>
        <w:tc>
          <w:tcPr>
            <w:tcW w:w="851" w:type="dxa"/>
            <w:shd w:val="clear" w:color="auto" w:fill="D6E3BC"/>
            <w:vAlign w:val="center"/>
          </w:tcPr>
          <w:p w:rsidR="00A906E6" w:rsidRPr="00036471" w:rsidRDefault="00E177A8" w:rsidP="00E177A8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3647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258,2</w:t>
            </w:r>
          </w:p>
        </w:tc>
        <w:tc>
          <w:tcPr>
            <w:tcW w:w="1290" w:type="dxa"/>
            <w:shd w:val="clear" w:color="auto" w:fill="D6E3BC"/>
            <w:vAlign w:val="center"/>
          </w:tcPr>
          <w:p w:rsidR="00A906E6" w:rsidRPr="00CE1E22" w:rsidRDefault="00A906E6" w:rsidP="00A906E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7D1149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1.2.</w:t>
            </w:r>
            <w:r w:rsidR="007D1149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A906E6" w:rsidRPr="00A906E6" w:rsidRDefault="00210192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210192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порядка проведения оценки планируемой эффективности реализации государственных (муниципальных) программ</w:t>
            </w:r>
          </w:p>
        </w:tc>
        <w:tc>
          <w:tcPr>
            <w:tcW w:w="850" w:type="dxa"/>
            <w:vAlign w:val="center"/>
          </w:tcPr>
          <w:p w:rsidR="00A906E6" w:rsidRPr="00A906E6" w:rsidRDefault="007823E1" w:rsidP="007823E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1" w:type="dxa"/>
            <w:vAlign w:val="center"/>
          </w:tcPr>
          <w:p w:rsidR="00A906E6" w:rsidRPr="00A906E6" w:rsidRDefault="00A906E6" w:rsidP="007823E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210192" w:rsidRPr="00A906E6" w:rsidTr="00DB2289">
        <w:tc>
          <w:tcPr>
            <w:tcW w:w="1447" w:type="dxa"/>
          </w:tcPr>
          <w:p w:rsidR="00210192" w:rsidRPr="00A906E6" w:rsidRDefault="00210192" w:rsidP="0021019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1.2.6</w:t>
            </w:r>
          </w:p>
        </w:tc>
        <w:tc>
          <w:tcPr>
            <w:tcW w:w="3261" w:type="dxa"/>
          </w:tcPr>
          <w:p w:rsidR="00210192" w:rsidRPr="00210192" w:rsidRDefault="00210192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210192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порядка применения бюджетной классификации РФ</w:t>
            </w:r>
          </w:p>
        </w:tc>
        <w:tc>
          <w:tcPr>
            <w:tcW w:w="850" w:type="dxa"/>
            <w:vAlign w:val="center"/>
          </w:tcPr>
          <w:p w:rsidR="00210192" w:rsidRDefault="00210192" w:rsidP="007823E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21" w:type="dxa"/>
            <w:vAlign w:val="center"/>
          </w:tcPr>
          <w:p w:rsidR="00210192" w:rsidRPr="00A906E6" w:rsidRDefault="00CE1E22" w:rsidP="00E55D1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  <w:r w:rsidR="00E55D1E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661,3</w:t>
            </w:r>
          </w:p>
        </w:tc>
        <w:tc>
          <w:tcPr>
            <w:tcW w:w="879" w:type="dxa"/>
            <w:vAlign w:val="center"/>
          </w:tcPr>
          <w:p w:rsidR="00210192" w:rsidRPr="00A906E6" w:rsidRDefault="00CE1E22" w:rsidP="00E729F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  <w:r w:rsidR="00E729F2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</w:t>
            </w:r>
            <w:r w:rsidR="00E729F2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851" w:type="dxa"/>
            <w:vAlign w:val="center"/>
          </w:tcPr>
          <w:p w:rsidR="00210192" w:rsidRPr="00A906E6" w:rsidRDefault="00E55D1E" w:rsidP="00E55D1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162,3</w:t>
            </w:r>
          </w:p>
        </w:tc>
        <w:tc>
          <w:tcPr>
            <w:tcW w:w="1290" w:type="dxa"/>
            <w:vAlign w:val="center"/>
          </w:tcPr>
          <w:p w:rsidR="00210192" w:rsidRPr="00A906E6" w:rsidRDefault="0021019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7823E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1.2.</w:t>
            </w:r>
            <w:r w:rsidR="007823E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91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A906E6" w:rsidRPr="00A906E6" w:rsidRDefault="007823E1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7823E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Непредставление или представление с нарушением сроков бюджетной отчетности, либо представление заведомо недостоверной бюджетной отчетности, нарушение порядка составления и предоставления отчета об исполнении бюджетов бюджетной системы РФ</w:t>
            </w:r>
          </w:p>
        </w:tc>
        <w:tc>
          <w:tcPr>
            <w:tcW w:w="850" w:type="dxa"/>
            <w:vAlign w:val="center"/>
          </w:tcPr>
          <w:p w:rsidR="00A906E6" w:rsidRPr="00A906E6" w:rsidRDefault="00333770" w:rsidP="0033377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2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33377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1.2.9</w:t>
            </w:r>
            <w:r w:rsidR="00333770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5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A906E6" w:rsidRPr="00A906E6" w:rsidRDefault="00333770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333770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порядка и условий оплаты труда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</w:t>
            </w:r>
          </w:p>
        </w:tc>
        <w:tc>
          <w:tcPr>
            <w:tcW w:w="850" w:type="dxa"/>
            <w:vAlign w:val="center"/>
          </w:tcPr>
          <w:p w:rsidR="00A906E6" w:rsidRPr="00A906E6" w:rsidRDefault="00E07FD0" w:rsidP="00E07FD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1" w:type="dxa"/>
            <w:vAlign w:val="center"/>
          </w:tcPr>
          <w:p w:rsidR="00A906E6" w:rsidRPr="00A906E6" w:rsidRDefault="0011710E" w:rsidP="0011710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879" w:type="dxa"/>
            <w:vAlign w:val="center"/>
          </w:tcPr>
          <w:p w:rsidR="00A906E6" w:rsidRPr="00A906E6" w:rsidRDefault="00333770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851" w:type="dxa"/>
            <w:vAlign w:val="center"/>
          </w:tcPr>
          <w:p w:rsidR="00A906E6" w:rsidRPr="00A906E6" w:rsidRDefault="0011710E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7823E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1.2.9</w:t>
            </w:r>
            <w:r w:rsidR="007823E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6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A906E6" w:rsidRPr="00A906E6" w:rsidRDefault="007823E1" w:rsidP="0011710E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7823E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Нарушение порядка обеспечения открытости и доступности сведений, содержащихся в документах, </w:t>
            </w:r>
            <w:proofErr w:type="gramStart"/>
            <w:r w:rsidR="0011710E" w:rsidRPr="007823E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7823E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"Интернет".</w:t>
            </w:r>
          </w:p>
        </w:tc>
        <w:tc>
          <w:tcPr>
            <w:tcW w:w="850" w:type="dxa"/>
            <w:vAlign w:val="center"/>
          </w:tcPr>
          <w:p w:rsidR="00A906E6" w:rsidRPr="00A906E6" w:rsidRDefault="0011710E" w:rsidP="007823E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1.2.101</w:t>
            </w:r>
          </w:p>
        </w:tc>
        <w:tc>
          <w:tcPr>
            <w:tcW w:w="3261" w:type="dxa"/>
          </w:tcPr>
          <w:p w:rsidR="00A906E6" w:rsidRPr="00A906E6" w:rsidRDefault="00A906E6" w:rsidP="00A92714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 (за исключением нарушений, указанных в иных п</w:t>
            </w:r>
            <w:r w:rsidR="00A92714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ункта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х классификатора)</w:t>
            </w:r>
          </w:p>
        </w:tc>
        <w:tc>
          <w:tcPr>
            <w:tcW w:w="850" w:type="dxa"/>
            <w:vAlign w:val="center"/>
          </w:tcPr>
          <w:p w:rsidR="00A906E6" w:rsidRPr="00A906E6" w:rsidRDefault="0011710E" w:rsidP="0011710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1" w:type="dxa"/>
            <w:vAlign w:val="center"/>
          </w:tcPr>
          <w:p w:rsidR="00A906E6" w:rsidRPr="00A906E6" w:rsidRDefault="0035650B" w:rsidP="00051CF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6</w:t>
            </w:r>
            <w:r w:rsidR="00051CFE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879" w:type="dxa"/>
            <w:vAlign w:val="center"/>
          </w:tcPr>
          <w:p w:rsidR="00A906E6" w:rsidRPr="00A906E6" w:rsidRDefault="00051CFE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851" w:type="dxa"/>
            <w:vAlign w:val="center"/>
          </w:tcPr>
          <w:p w:rsidR="00A906E6" w:rsidRPr="00A906E6" w:rsidRDefault="0035650B" w:rsidP="00410D2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61" w:type="dxa"/>
            <w:shd w:val="clear" w:color="auto" w:fill="D6E3BC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850" w:type="dxa"/>
            <w:shd w:val="clear" w:color="auto" w:fill="D6E3BC"/>
            <w:vAlign w:val="center"/>
          </w:tcPr>
          <w:p w:rsidR="00A906E6" w:rsidRPr="00A906E6" w:rsidRDefault="00E07FD0" w:rsidP="00E07FD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021" w:type="dxa"/>
            <w:shd w:val="clear" w:color="auto" w:fill="D6E3BC"/>
            <w:vAlign w:val="center"/>
          </w:tcPr>
          <w:p w:rsidR="00A906E6" w:rsidRPr="00A906E6" w:rsidRDefault="00E729F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5 321,0</w:t>
            </w:r>
          </w:p>
        </w:tc>
        <w:tc>
          <w:tcPr>
            <w:tcW w:w="879" w:type="dxa"/>
            <w:shd w:val="clear" w:color="auto" w:fill="D6E3BC"/>
            <w:vAlign w:val="center"/>
          </w:tcPr>
          <w:p w:rsidR="00A906E6" w:rsidRPr="00A906E6" w:rsidRDefault="00E729F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shd w:val="clear" w:color="auto" w:fill="D6E3BC"/>
            <w:vAlign w:val="center"/>
          </w:tcPr>
          <w:p w:rsidR="00A906E6" w:rsidRPr="00A906E6" w:rsidRDefault="00E729F2" w:rsidP="00E729F2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5 320,0</w:t>
            </w:r>
          </w:p>
        </w:tc>
        <w:tc>
          <w:tcPr>
            <w:tcW w:w="1290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261" w:type="dxa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850" w:type="dxa"/>
            <w:vAlign w:val="center"/>
          </w:tcPr>
          <w:p w:rsidR="00A906E6" w:rsidRPr="00A906E6" w:rsidRDefault="00A906E6" w:rsidP="00E07FD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3261" w:type="dxa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требований, предъявляемых к регистру бухгалтерского учета</w:t>
            </w:r>
          </w:p>
        </w:tc>
        <w:tc>
          <w:tcPr>
            <w:tcW w:w="850" w:type="dxa"/>
            <w:vAlign w:val="center"/>
          </w:tcPr>
          <w:p w:rsidR="00A906E6" w:rsidRPr="00A906E6" w:rsidRDefault="00662C17" w:rsidP="00662C1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662C1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2.</w:t>
            </w:r>
            <w:r w:rsidR="00662C17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8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A906E6" w:rsidRPr="00A906E6" w:rsidRDefault="00662C17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662C17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</w:t>
            </w:r>
          </w:p>
        </w:tc>
        <w:tc>
          <w:tcPr>
            <w:tcW w:w="85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1" w:type="dxa"/>
            <w:vAlign w:val="center"/>
          </w:tcPr>
          <w:p w:rsidR="00A906E6" w:rsidRPr="00A906E6" w:rsidRDefault="00E729F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79" w:type="dxa"/>
            <w:vAlign w:val="center"/>
          </w:tcPr>
          <w:p w:rsidR="00A906E6" w:rsidRPr="00A906E6" w:rsidRDefault="00E729F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2.9.</w:t>
            </w:r>
          </w:p>
        </w:tc>
        <w:tc>
          <w:tcPr>
            <w:tcW w:w="3261" w:type="dxa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Нарушение общих требований к бухгалтерской (финансовой) отчетности экономического субъекта, в том числе к ее составу</w:t>
            </w:r>
          </w:p>
        </w:tc>
        <w:tc>
          <w:tcPr>
            <w:tcW w:w="850" w:type="dxa"/>
            <w:vAlign w:val="center"/>
          </w:tcPr>
          <w:p w:rsidR="00A906E6" w:rsidRPr="00A906E6" w:rsidRDefault="00662C17" w:rsidP="0003647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7</w:t>
            </w:r>
            <w:r w:rsidR="0003647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2.11.</w:t>
            </w:r>
          </w:p>
        </w:tc>
        <w:tc>
          <w:tcPr>
            <w:tcW w:w="3261" w:type="dxa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Нарушение требований, предъявляемых к применению правил ведения бухгалтерского учета и составления бухгалтерской отчетности, утвержденных уполномоченными федеральными 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lastRenderedPageBreak/>
              <w:t>органами исполнительной власти и Центральным банком РФ</w:t>
            </w:r>
          </w:p>
        </w:tc>
        <w:tc>
          <w:tcPr>
            <w:tcW w:w="850" w:type="dxa"/>
            <w:vAlign w:val="center"/>
          </w:tcPr>
          <w:p w:rsidR="00A906E6" w:rsidRPr="00A906E6" w:rsidRDefault="00662C17" w:rsidP="00662C1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02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662C17" w:rsidRPr="00A906E6" w:rsidTr="00DB2289">
        <w:tc>
          <w:tcPr>
            <w:tcW w:w="1447" w:type="dxa"/>
          </w:tcPr>
          <w:p w:rsidR="00662C17" w:rsidRPr="00A906E6" w:rsidRDefault="00662C17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lastRenderedPageBreak/>
              <w:t>2.12.</w:t>
            </w:r>
          </w:p>
        </w:tc>
        <w:tc>
          <w:tcPr>
            <w:tcW w:w="3261" w:type="dxa"/>
          </w:tcPr>
          <w:p w:rsidR="00662C17" w:rsidRPr="00A906E6" w:rsidRDefault="00662C17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662C17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Грубое нарушение правил ведения бухгалтерского учета, выразившееся в искажении любой ст. (строки) формы бухгалтерской отчетности не менее чем на 10 процентов</w:t>
            </w:r>
          </w:p>
        </w:tc>
        <w:tc>
          <w:tcPr>
            <w:tcW w:w="850" w:type="dxa"/>
            <w:vAlign w:val="center"/>
          </w:tcPr>
          <w:p w:rsidR="00662C17" w:rsidRDefault="00662C17" w:rsidP="00662C17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1" w:type="dxa"/>
            <w:vAlign w:val="center"/>
          </w:tcPr>
          <w:p w:rsidR="00662C17" w:rsidRPr="00A906E6" w:rsidRDefault="00E729F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5 320,0</w:t>
            </w:r>
          </w:p>
        </w:tc>
        <w:tc>
          <w:tcPr>
            <w:tcW w:w="879" w:type="dxa"/>
            <w:vAlign w:val="center"/>
          </w:tcPr>
          <w:p w:rsidR="00662C17" w:rsidRPr="00A906E6" w:rsidRDefault="00662C17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62C17" w:rsidRPr="00A906E6" w:rsidRDefault="00E729F2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5320,0</w:t>
            </w:r>
          </w:p>
        </w:tc>
        <w:tc>
          <w:tcPr>
            <w:tcW w:w="1290" w:type="dxa"/>
            <w:vAlign w:val="center"/>
          </w:tcPr>
          <w:p w:rsidR="00662C17" w:rsidRPr="00A906E6" w:rsidRDefault="00662C17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61" w:type="dxa"/>
            <w:shd w:val="clear" w:color="auto" w:fill="D6E3BC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Нарушения в сфере управления и распоряжения государственной (муниципальной) собственностью </w:t>
            </w:r>
          </w:p>
        </w:tc>
        <w:tc>
          <w:tcPr>
            <w:tcW w:w="850" w:type="dxa"/>
            <w:shd w:val="clear" w:color="auto" w:fill="D6E3BC"/>
            <w:vAlign w:val="center"/>
          </w:tcPr>
          <w:p w:rsidR="00A906E6" w:rsidRPr="00A906E6" w:rsidRDefault="00036471" w:rsidP="0003647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1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A40E5B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3.1</w:t>
            </w:r>
            <w:r w:rsidR="00A40E5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A906E6" w:rsidRPr="00A906E6" w:rsidRDefault="00A40E5B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40E5B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Ненадлежащее осуществление органами государственной власти и органами местного самоуправления функций и полномочий учредителя государственного (муниципального) бюджетного учреждения</w:t>
            </w:r>
          </w:p>
        </w:tc>
        <w:tc>
          <w:tcPr>
            <w:tcW w:w="850" w:type="dxa"/>
            <w:vAlign w:val="center"/>
          </w:tcPr>
          <w:p w:rsidR="00A906E6" w:rsidRPr="00A906E6" w:rsidRDefault="00A40E5B" w:rsidP="00A40E5B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3.27.</w:t>
            </w:r>
          </w:p>
        </w:tc>
        <w:tc>
          <w:tcPr>
            <w:tcW w:w="3261" w:type="dxa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Несоблюдение требования государственной регистрации прав собственности, других вещных прав на недвижимые вещи, ограничений этих прав, их возникновения, перехода и прекращения за исключением земельных участков</w:t>
            </w:r>
          </w:p>
        </w:tc>
        <w:tc>
          <w:tcPr>
            <w:tcW w:w="850" w:type="dxa"/>
            <w:vAlign w:val="center"/>
          </w:tcPr>
          <w:p w:rsidR="00A906E6" w:rsidRPr="00A906E6" w:rsidRDefault="00625CCC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  <w:shd w:val="clear" w:color="auto" w:fill="D6E3BC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61" w:type="dxa"/>
            <w:shd w:val="clear" w:color="auto" w:fill="D6E3BC"/>
          </w:tcPr>
          <w:p w:rsidR="00A906E6" w:rsidRPr="00A906E6" w:rsidRDefault="00A906E6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Нарушения при осуществлении государственных (муниципальных) закупок</w:t>
            </w:r>
          </w:p>
        </w:tc>
        <w:tc>
          <w:tcPr>
            <w:tcW w:w="850" w:type="dxa"/>
            <w:shd w:val="clear" w:color="auto" w:fill="D6E3BC"/>
            <w:vAlign w:val="center"/>
          </w:tcPr>
          <w:p w:rsidR="00A906E6" w:rsidRPr="00A906E6" w:rsidRDefault="00036471" w:rsidP="0003647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1" w:type="dxa"/>
            <w:shd w:val="clear" w:color="auto" w:fill="D6E3BC"/>
            <w:vAlign w:val="center"/>
          </w:tcPr>
          <w:p w:rsidR="00A906E6" w:rsidRPr="00A906E6" w:rsidRDefault="00A906E6" w:rsidP="00604E5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D6E3BC"/>
            <w:vAlign w:val="center"/>
          </w:tcPr>
          <w:p w:rsidR="00A906E6" w:rsidRPr="00A906E6" w:rsidRDefault="00A906E6" w:rsidP="00604E5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shd w:val="clear" w:color="auto" w:fill="D6E3BC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A906E6" w:rsidRPr="00A906E6" w:rsidTr="00DB2289">
        <w:tc>
          <w:tcPr>
            <w:tcW w:w="1447" w:type="dxa"/>
          </w:tcPr>
          <w:p w:rsidR="00A906E6" w:rsidRPr="00A906E6" w:rsidRDefault="00A906E6" w:rsidP="0003647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4.1</w:t>
            </w:r>
            <w:r w:rsidR="0003647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</w:t>
            </w:r>
            <w:r w:rsidRPr="00A906E6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A906E6" w:rsidRPr="00A906E6" w:rsidRDefault="00036471" w:rsidP="00A906E6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036471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Нарушения порядка формирования контрактной службы (назначения контрактных управляющих)</w:t>
            </w:r>
          </w:p>
        </w:tc>
        <w:tc>
          <w:tcPr>
            <w:tcW w:w="850" w:type="dxa"/>
            <w:vAlign w:val="center"/>
          </w:tcPr>
          <w:p w:rsidR="00A906E6" w:rsidRPr="00A906E6" w:rsidRDefault="00036471" w:rsidP="00036471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A906E6" w:rsidRPr="00A906E6" w:rsidRDefault="00A906E6" w:rsidP="00A906E6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</w:tbl>
    <w:p w:rsidR="00A92714" w:rsidRPr="00DB2289" w:rsidRDefault="00A92714" w:rsidP="003E5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установлено 2 факта неэффективного использования бюджетных средств (код по классификатору </w:t>
      </w:r>
      <w:r w:rsidR="00BE09AC" w:rsidRP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</w:t>
      </w:r>
      <w:r w:rsidRP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999) на сумму </w:t>
      </w:r>
      <w:r w:rsidR="003D5FB1" w:rsidRP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>11,0</w:t>
      </w:r>
      <w:r w:rsidRP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допущенных в 201</w:t>
      </w:r>
      <w:r w:rsidR="003D5FB1" w:rsidRP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3D5FB1" w:rsidRP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>11,0 тыс. рублей.</w:t>
      </w:r>
    </w:p>
    <w:p w:rsidR="002F3A07" w:rsidRDefault="00A92714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контрольных </w:t>
      </w:r>
      <w:r w:rsidR="0048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экспертно-аналитических мероприятий 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составлено </w:t>
      </w:r>
      <w:r w:rsidR="0024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5FB1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48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заключений, </w:t>
      </w:r>
      <w:r w:rsidR="003D5F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 w:rsidR="003D5F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сводное заключение, </w:t>
      </w:r>
      <w:r w:rsidR="0024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решение Коллегии, 2 представления, </w:t>
      </w:r>
      <w:r w:rsidR="001E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органам местного самоуправления </w:t>
      </w:r>
      <w:r w:rsidR="00242A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57CE">
        <w:rPr>
          <w:rFonts w:ascii="Times New Roman" w:eastAsia="Times New Roman" w:hAnsi="Times New Roman" w:cs="Times New Roman"/>
          <w:sz w:val="28"/>
          <w:szCs w:val="28"/>
          <w:lang w:eastAsia="ru-RU"/>
        </w:rPr>
        <w:t>7 информационных писем.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7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данных мероприятий проверяемым организациям направлено </w:t>
      </w:r>
      <w:r w:rsidR="00242A13">
        <w:rPr>
          <w:rFonts w:ascii="Times New Roman" w:eastAsia="Times New Roman" w:hAnsi="Times New Roman" w:cs="Times New Roman"/>
          <w:sz w:val="28"/>
          <w:szCs w:val="28"/>
          <w:lang w:eastAsia="ru-RU"/>
        </w:rPr>
        <w:t>376</w:t>
      </w:r>
      <w:r w:rsidR="0048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</w:t>
      </w:r>
      <w:r w:rsidR="0024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рекомендаций </w:t>
      </w:r>
      <w:r w:rsidR="0048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устранению выявленных нарушений и совершенствованию бюджетного процесса. По предложению контрольно – счетной палаты 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</w:t>
      </w:r>
      <w:r w:rsidR="001E28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дисциплинарной ответственности </w:t>
      </w:r>
      <w:r w:rsidR="0024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Pr="00A927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виновных должностных лиц</w:t>
      </w:r>
      <w:r w:rsidR="001E2889">
        <w:rPr>
          <w:rFonts w:ascii="Times New Roman" w:eastAsia="Times New Roman" w:hAnsi="Times New Roman" w:cs="Times New Roman"/>
          <w:sz w:val="28"/>
          <w:szCs w:val="28"/>
          <w:lang w:eastAsia="ru-RU"/>
        </w:rPr>
        <w:t>а (объявлено замечание).</w:t>
      </w:r>
    </w:p>
    <w:p w:rsidR="00D75FD6" w:rsidRDefault="002F3A07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общий объем нарушений, подлежащих устранению – </w:t>
      </w:r>
      <w:r w:rsidR="00242A13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242A1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имеющих стоимостную оценку </w:t>
      </w:r>
      <w:r w:rsidR="00242A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единицы на сумму 1</w:t>
      </w:r>
      <w:r w:rsidR="00242A13">
        <w:rPr>
          <w:rFonts w:ascii="Times New Roman" w:eastAsia="Times New Roman" w:hAnsi="Times New Roman" w:cs="Times New Roman"/>
          <w:sz w:val="28"/>
          <w:szCs w:val="28"/>
          <w:lang w:eastAsia="ru-RU"/>
        </w:rPr>
        <w:t> 522,5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устранено – </w:t>
      </w:r>
      <w:r w:rsidR="00F44567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нарушений, из них имеющих стоимостную оценку </w:t>
      </w:r>
      <w:r w:rsidR="00F445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единицы на сумму 1</w:t>
      </w:r>
      <w:r w:rsidR="00F44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22,5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</w:t>
      </w:r>
      <w:r w:rsidR="0027384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95D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27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44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погашена задолженность по зарплате 17,2 тыс. рублей; внесены изменени</w:t>
      </w:r>
      <w:r w:rsidR="0038449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4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бюджетную </w:t>
      </w:r>
      <w:r w:rsidR="00F445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классификацию расходов на сумму 1 499,0 тыс. рублей; </w:t>
      </w:r>
      <w:r w:rsidR="0027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устранены нарушения бухгалтерского учета и отчетности на сумму </w:t>
      </w:r>
      <w:r w:rsidR="00F44567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="0027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445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7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5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устранены прочи</w:t>
      </w:r>
      <w:r w:rsidR="003844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4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на сумму 5,3 тыс. рублей;</w:t>
      </w:r>
      <w:r w:rsidR="0038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поставлено на учет недвижимое имущество в количестве 3 единиц</w:t>
      </w:r>
      <w:r w:rsidR="0027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561B" w:rsidRPr="000F23C7" w:rsidRDefault="0027384D" w:rsidP="003E54F0">
      <w:pPr>
        <w:pStyle w:val="a3"/>
        <w:numPr>
          <w:ilvl w:val="0"/>
          <w:numId w:val="17"/>
        </w:num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за формированием и исполнением бюджета </w:t>
      </w:r>
      <w:r w:rsidR="00057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Навлинского</w:t>
      </w:r>
      <w:r w:rsidRPr="00273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и бюджетов </w:t>
      </w:r>
      <w:r w:rsidR="00057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городских и сельских </w:t>
      </w:r>
      <w:r w:rsidRPr="00273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поселений</w:t>
      </w:r>
    </w:p>
    <w:p w:rsidR="00E4561B" w:rsidRDefault="00057B7C" w:rsidP="003E54F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F23C7" w:rsidRPr="000F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0F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Предварительный контроль</w:t>
      </w:r>
    </w:p>
    <w:p w:rsidR="00057B7C" w:rsidRPr="00057B7C" w:rsidRDefault="00057B7C" w:rsidP="003E54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 и во исполнение полномочий, закрепленных </w:t>
      </w:r>
      <w:r w:rsidR="00B66651"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«</w:t>
      </w: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Контрольно-счетной палате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палатой </w:t>
      </w:r>
      <w:r w:rsidR="00B66651"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экспертно</w:t>
      </w: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-аналитическое мероприятие «Экспертиза и подготовка заключения на проект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«О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«Навлинский район»</w:t>
      </w: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E90D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90D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90D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годов». </w:t>
      </w:r>
    </w:p>
    <w:p w:rsidR="00E4561B" w:rsidRPr="001D16FF" w:rsidRDefault="00057B7C" w:rsidP="003E5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экспертизы </w:t>
      </w:r>
      <w:r w:rsid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</w:t>
      </w:r>
      <w:r w:rsidRPr="00057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 вопросы соответствия проекта решения требованиям бюджетного законодательства, проведен анализ расчетов и документов, представленных одновременно с проектом бюджета.</w:t>
      </w:r>
    </w:p>
    <w:p w:rsidR="003A250E" w:rsidRPr="003A250E" w:rsidRDefault="003A250E" w:rsidP="003E54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администраторам доходов бюджета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мер по сокращению недоимки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неналоговы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предложено 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корректировку прогноза поступления доходных источников с учетом дополнительных поступлений в связи с погашением недоимки.</w:t>
      </w:r>
    </w:p>
    <w:p w:rsidR="003A250E" w:rsidRPr="003A250E" w:rsidRDefault="003A250E" w:rsidP="003E54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экспертно-аналитического мероприятия проведена экспертиза </w:t>
      </w:r>
      <w:r w:rsidR="00B95D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65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«Навлинский 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отмечена необходимость корректировки перечня показателей (индикаторов) и (или) значений показателей, 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ошибки, 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 главным распорядителям бюджетных средств </w:t>
      </w:r>
      <w:r w:rsidR="007818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исполнителям муниципальных программ</w:t>
      </w:r>
      <w:r w:rsidR="007818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соответствующие предложения.</w:t>
      </w:r>
    </w:p>
    <w:p w:rsidR="003A250E" w:rsidRPr="003A250E" w:rsidRDefault="003A250E" w:rsidP="003E54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Результаты экспертизы проекта бюджета отражены в заключении Контрольно-счетной палаты.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 с предложениями на проект бюджета района на 20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направлено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Навлинский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народных депутатов и главе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3A250E" w:rsidRDefault="003A250E" w:rsidP="003E54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 и соглашениями о передаче полномочий по осуществлению внешнего муниципального финансового контроля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мероприяти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«Экспертиза и подготовка заключений на </w:t>
      </w:r>
      <w:r w:rsidR="003B59F4"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решений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бюджетах городских и сельских поселений на 20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>1 и 2022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818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007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поселений)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59F4"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роведена экспертиза 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B59F4"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муниципальных программ 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городских и сельских муниципальных образований Навлинского </w:t>
      </w:r>
      <w:r w:rsidR="003B59F4"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59F4"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9F4"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3B59F4"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отмечена необходимость корректировки перечня показателей (индикаторов) и (или) значений показателей, в связи с чем главным распорядителям бюджетных средств </w:t>
      </w:r>
      <w:r w:rsidR="007818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B59F4"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исполнителям муниципальных программ</w:t>
      </w:r>
      <w:r w:rsidR="007818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B59F4"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соответствующие предложения.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аключения с предложениями на проекты   бюджетов городских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на 20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направлены в 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городские (сельские) 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Советы народных депутатов и главам </w:t>
      </w:r>
      <w:r w:rsid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городских и сельских </w:t>
      </w:r>
      <w:r w:rsidRPr="003A25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администраций.</w:t>
      </w:r>
    </w:p>
    <w:p w:rsidR="003B59F4" w:rsidRDefault="003B59F4" w:rsidP="003E54F0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  <w:r w:rsidR="000F23C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.2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Оперативный контроль </w:t>
      </w:r>
    </w:p>
    <w:p w:rsidR="003B59F4" w:rsidRPr="003B59F4" w:rsidRDefault="003B59F4" w:rsidP="003E54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перативный контроль и анализ исполнения бюджета </w:t>
      </w:r>
      <w:r w:rsidR="006B57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«Навлинский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6B57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осуществлялся Контрольно-счетной палатой в соответствии с Бюджетным кодексом Российской Федерации и планом работы на 201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6B57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экспертно-аналитической деятельности</w:t>
      </w:r>
      <w:r w:rsidR="006B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</w:t>
      </w:r>
      <w:r w:rsidR="006B57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проектов решений </w:t>
      </w:r>
      <w:r w:rsidR="006B5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«О внесении изменений и дополнений в решение </w:t>
      </w:r>
      <w:r w:rsidR="006B5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«О бюджете </w:t>
      </w:r>
      <w:r w:rsidR="006B5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а также экспертизе отчетов об исполнении бюджета </w:t>
      </w:r>
      <w:r w:rsidR="006B5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городских (сельских) 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поселений 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квартал, 1 полугодие и 9 месяцев 201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56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8E4"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подготовлены заключения, которые направлены главе </w:t>
      </w:r>
      <w:r w:rsidR="00561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="005618E4"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6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18E4"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</w:t>
      </w:r>
      <w:r w:rsidR="00561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="005618E4"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618E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главам городских и сельских поселений</w:t>
      </w:r>
      <w:r w:rsidR="005618E4"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Особое внимание при подготовке заключений уделялось эффективности администрирования доходных источников бюджет</w:t>
      </w:r>
      <w:r w:rsidR="00561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618E4"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использованию главными распорядителями средств местного бюджета.</w:t>
      </w:r>
    </w:p>
    <w:p w:rsidR="003B59F4" w:rsidRPr="003B59F4" w:rsidRDefault="003B59F4" w:rsidP="003E54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оперативного контроля осуществлялся анализ плановых и фактических показателей бюджета района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поселений </w:t>
      </w:r>
      <w:r w:rsidR="007818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представленных месячных отчетах об исполнении бюджета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проверка их соответствия </w:t>
      </w:r>
      <w:r w:rsidR="0078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сводной бюджетной росписи бюджета, 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бюджетного законодательства. По итогам экспертно-аналитических мероприятий выработаны рекомендации главным администраторам бюджетных средств, направленные на повышение эффективности администрирования доходных источников и использования средств бюджета района.</w:t>
      </w:r>
    </w:p>
    <w:p w:rsidR="003B59F4" w:rsidRPr="003B59F4" w:rsidRDefault="003B59F4" w:rsidP="003E54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проведены экспертизы </w:t>
      </w:r>
      <w:r w:rsidR="00ED7B11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</w:t>
      </w:r>
      <w:r w:rsidR="005618E4"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районного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поселковых (сельских) 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61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«О внесении изменений и дополнений в решение </w:t>
      </w:r>
      <w:r w:rsidR="005618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на 201</w:t>
      </w:r>
      <w:r w:rsidR="005618E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5618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618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 При проведении экспертиз осуществлялась проверка </w:t>
      </w:r>
      <w:r w:rsidR="007818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роектов</w:t>
      </w:r>
      <w:r w:rsidR="0078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соответствие требованиям бюджетного законодательства, по их результатам Контрольно-счетной палатой подготовлены заключения</w:t>
      </w:r>
      <w:r w:rsidR="0063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рекомендациями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направлены в Совет</w:t>
      </w:r>
      <w:r w:rsidR="005618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B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депутатов.</w:t>
      </w:r>
    </w:p>
    <w:p w:rsidR="00ED180A" w:rsidRDefault="006C4004" w:rsidP="003E54F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36B6F" w:rsidRPr="00ED1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.3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Последующий контроль</w:t>
      </w:r>
    </w:p>
    <w:p w:rsidR="006C4004" w:rsidRDefault="006C4004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бюджетного законодательства в рамках экспертно-аналитического мероприятия «Внешняя проверка исполнения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201</w:t>
      </w:r>
      <w:r w:rsidR="005618E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произведена внешняя проверка годового отчета об исполнении бюджета муниципального образования «Навлинский район» за 201</w:t>
      </w:r>
      <w:r w:rsidR="00B95D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рассмотрены и подготовлены заключения по результатам </w:t>
      </w: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внешней проверки годовой бюджетной </w:t>
      </w:r>
      <w:r w:rsidR="00776870"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 6</w:t>
      </w: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администраторов </w:t>
      </w:r>
      <w:r w:rsidR="0077687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района</w:t>
      </w: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345" w:rsidRPr="006C4004" w:rsidRDefault="00D00345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проведенной внешней проверки проанализирована полнота и правильность заполнения форм бюджетной отчетности. Установлены нарушения требований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191, при заполнении отдельных форм бухгалтерской отчетности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6C4004" w:rsidRDefault="006C4004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внешней проверки годового отчета об исполнении бюджета </w:t>
      </w:r>
      <w:r w:rsidR="00776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внешней проверки годовой бюджетной отчетности главных администраторов бюджетных средств отражены в сводном заключении Контрольно-счетной палаты</w:t>
      </w:r>
      <w:r w:rsidR="0018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направленном главе района и главе администрации</w:t>
      </w: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004" w:rsidRPr="006C4004" w:rsidRDefault="006C4004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264.4 Бюджетного </w:t>
      </w:r>
      <w:r w:rsidR="0063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и заключенными соглашениями </w:t>
      </w: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внешние проверки исполнения бюджетов поселений за 201</w:t>
      </w:r>
      <w:r w:rsidR="005618E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рамках которых подготовлено 13 заключений </w:t>
      </w:r>
      <w:r w:rsidR="00776870"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внешним</w:t>
      </w:r>
      <w:r w:rsidRPr="006C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проверкам годовой бюджетной отчетности главных администраторов средств местного бюджета.</w:t>
      </w:r>
    </w:p>
    <w:p w:rsidR="001F6071" w:rsidRPr="006C4004" w:rsidRDefault="00D00345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проведенной внешней проверки проанализирована полнота и правильность заполнения форм бюджетной отчетности. Установлены нарушения требований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191, при заполнении отдельных форм бухгалтерской отчетности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Pr="00D0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сельских поселений. При анализе показателей отчетов об исполнении бюджетов муниципальных образований, отмечены нарушения Указаний о порядке применения бюджетной классификации Российской Федерации, утвержденных приказом Минфина России от 01.07.2013 № 65н, в части неверного наименования кодов бюджетной классификации доходов и расходов. В нарушение статьи 264.6 Бюджетного кодекса Российской Федерации отмечены недостатки при </w:t>
      </w:r>
      <w:r w:rsidRPr="00D00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заполнении отдельных приложений к решениям об исполнении бюджетов. В нарушение статьи 37 Бюджетного кодекса Российской Федерации не обеспечен принцип достоверности бюджета в части соблюдения реалистичности расчета доходов и расходов бюджетов. При исполнении бюджетов муниципальных образований допускались нарушения требований Указаний о порядке применения бюджетной классификации Российской Федерации, утвержденных приказом Минфина России от 01.07.2013 № 65н. </w:t>
      </w:r>
      <w:r w:rsidR="004544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Нарушались</w:t>
      </w:r>
      <w:r w:rsidRPr="00D0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</w:t>
      </w:r>
      <w:r w:rsidR="0045446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0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использования бюджетных средств, установленн</w:t>
      </w:r>
      <w:r w:rsidR="0045446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D0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34 Бюджетно</w:t>
      </w:r>
      <w:r w:rsidR="004544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</w:t>
      </w:r>
      <w:r w:rsidRPr="00D0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03E8" w:rsidRPr="005C03E8" w:rsidRDefault="005C03E8" w:rsidP="003E54F0">
      <w:pPr>
        <w:pStyle w:val="a3"/>
        <w:numPr>
          <w:ilvl w:val="0"/>
          <w:numId w:val="17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E06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раткая характеристика контрольных мероприятий</w:t>
      </w:r>
    </w:p>
    <w:p w:rsidR="005D4C25" w:rsidRDefault="003F53AF" w:rsidP="003E5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планом </w:t>
      </w:r>
      <w:r w:rsidR="00E475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 2019</w:t>
      </w:r>
      <w:r w:rsid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</w:t>
      </w:r>
      <w:r w:rsidR="005D4C25" w:rsidRPr="005D4C25">
        <w:rPr>
          <w:rFonts w:ascii="Times New Roman" w:eastAsia="Times New Roman" w:hAnsi="Times New Roman" w:cs="Times New Roman"/>
          <w:sz w:val="28"/>
          <w:szCs w:val="28"/>
        </w:rPr>
        <w:t xml:space="preserve">о предложению Контрольно-счетной палаты Брянской области проведено совместное </w:t>
      </w:r>
      <w:r w:rsidR="005D4C25" w:rsidRP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мероприятие </w:t>
      </w:r>
      <w:r w:rsidR="00E475E8" w:rsidRPr="00E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 «Проверка целевого и эффективного использования бюджетных средств, выделенных на реализацию мероприятия «Приобретение специализированной техники для предприятий жилищно-коммунального комплекса» государственной программы «Развитие топливно-энергетического комплекса и жилищно-коммунального хозяйства Брянской области» (2014-2020 годы)», за 2017-2018 годы и истекший период 2019 года»  (совместное с Контрольно-счетной палатой Брянской области)</w:t>
      </w:r>
      <w:r w:rsidR="005D4C25" w:rsidRP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итогам которого установлено следующее.</w:t>
      </w:r>
      <w:r w:rsid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C25" w:rsidRP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проверки: </w:t>
      </w:r>
      <w:r w:rsidR="005D4C25" w:rsidRPr="005D4C2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00F8B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дминистрация Навлинского района</w:t>
      </w:r>
      <w:r w:rsidR="005D4C25" w:rsidRP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08F" w:rsidRDefault="0021508F" w:rsidP="003E5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проверенных средств в рамках мероприятия составил </w:t>
      </w:r>
      <w:r w:rsidR="00C00F8B">
        <w:rPr>
          <w:rFonts w:ascii="Times New Roman" w:eastAsia="Times New Roman" w:hAnsi="Times New Roman" w:cs="Times New Roman"/>
          <w:sz w:val="28"/>
          <w:szCs w:val="28"/>
          <w:lang w:eastAsia="ru-RU"/>
        </w:rPr>
        <w:t>5 320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0F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средства областного бюджета </w:t>
      </w:r>
      <w:r w:rsidR="00C00F8B">
        <w:rPr>
          <w:rFonts w:ascii="Times New Roman" w:eastAsia="Times New Roman" w:hAnsi="Times New Roman" w:cs="Times New Roman"/>
          <w:sz w:val="28"/>
          <w:szCs w:val="28"/>
          <w:lang w:eastAsia="ru-RU"/>
        </w:rPr>
        <w:t>3 010,5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</w:t>
      </w:r>
      <w:r w:rsidR="00C00F8B">
        <w:rPr>
          <w:rFonts w:ascii="Times New Roman" w:eastAsia="Times New Roman" w:hAnsi="Times New Roman" w:cs="Times New Roman"/>
          <w:sz w:val="28"/>
          <w:szCs w:val="28"/>
          <w:lang w:eastAsia="ru-RU"/>
        </w:rPr>
        <w:t>2 309,5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D4C25" w:rsidRPr="005D4C25" w:rsidRDefault="005D4C25" w:rsidP="003E5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средств субсидии допущены отдельные нарушения требований законодательства и других нормативно-правовых актов, в том числе:</w:t>
      </w:r>
    </w:p>
    <w:p w:rsidR="005D4C25" w:rsidRPr="005D4C25" w:rsidRDefault="005D4C25" w:rsidP="003E54F0">
      <w:pPr>
        <w:suppressAutoHyphens/>
        <w:spacing w:after="0" w:line="36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C00F8B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C00F8B" w:rsidRPr="00C00F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нарушение части 1 статьи 13 Федерального закона от 06.12.2011 № 402-ФЗ «О бухгалтерском учете» отделом по управлению муниципальным имуществом администрации Навлинского района Брянской области допущено </w:t>
      </w:r>
      <w:r w:rsidR="00C00F8B" w:rsidRPr="00C00F8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искажение данных бухгалтерского баланса (ф. 0503130) за 2018 год, выразившееся в отражении недостоверной информации об остатках нефинансовых активов на конец 2018 года по счету 10800 «Нефинансовые активы имущества казны» в сумме 5 320,0 тыс. рублей</w:t>
      </w:r>
      <w:r w:rsidRPr="005D4C2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D4C25" w:rsidRPr="005D4C25" w:rsidRDefault="005D4C25" w:rsidP="003E54F0">
      <w:pPr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</w:t>
      </w:r>
      <w:r w:rsidR="00C00F8B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C00F8B" w:rsidRPr="00C00F8B">
        <w:rPr>
          <w:rFonts w:ascii="Times New Roman" w:eastAsia="Times New Roman" w:hAnsi="Times New Roman" w:cs="Times New Roman"/>
          <w:sz w:val="28"/>
          <w:szCs w:val="28"/>
          <w:lang w:eastAsia="ar-SA"/>
        </w:rPr>
        <w:t>тделом по управлению муниципальным имуществом администрации Навлинского района Брянской области в нарушение части 1 статьи 10 Федерального закона от 06.12.2011 № 402-ФЗ «О бухгалтерском учете» и пункта 16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передача экскаватора-погрузчика JCB 3CXT14M2NM (LLI22917RUS) балансовой стоимостью 5 320,0 тыс. рублей в хозяйственное ведение МУП «Навлинский районный водоканал» отражена в бухгалтерском учете 31.12.2018 года, тогда как передача вышеуказанной техники осуществлена 10.01.2019 года</w:t>
      </w:r>
      <w:r w:rsidRPr="005D4C2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D4C25" w:rsidRDefault="00191DB9" w:rsidP="003E5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контрольного мероприятия </w:t>
      </w:r>
      <w:r w:rsidR="00C9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оформлены и </w:t>
      </w:r>
      <w:r w:rsidRPr="005D4C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91390">
        <w:rPr>
          <w:rFonts w:ascii="Times New Roman" w:eastAsia="Times New Roman" w:hAnsi="Times New Roman" w:cs="Times New Roman"/>
          <w:sz w:val="28"/>
          <w:szCs w:val="28"/>
          <w:lang w:eastAsia="ru-RU"/>
        </w:rPr>
        <w:t>: 1 акт, решение коллегии, представление с двумя предложениями, составлен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1390" w:rsidRPr="00C913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91390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Выявленные нарушения устранены.</w:t>
      </w:r>
    </w:p>
    <w:p w:rsidR="005D4C25" w:rsidRDefault="00A619AC" w:rsidP="003E5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 на 201</w:t>
      </w:r>
      <w:r w:rsidR="00C913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проведено контрольное мероприятие «</w:t>
      </w:r>
      <w:r w:rsidR="00C91390" w:rsidRPr="00C913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 «Проверка целевого и эффективного использование бюджетных средств, направляемых на обеспечение деятельности МБУК «</w:t>
      </w:r>
      <w:proofErr w:type="spellStart"/>
      <w:r w:rsidR="00C91390" w:rsidRPr="00C913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="00C91390" w:rsidRPr="00C9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</w:t>
      </w:r>
      <w:proofErr w:type="spellStart"/>
      <w:r w:rsidR="00C91390" w:rsidRPr="00C91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 w:rsidR="00C91390" w:rsidRPr="00C9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за 2018 год и истекший период 2019 года», аудит в сфере закупок за 2018 </w:t>
      </w:r>
      <w:r w:rsidR="00C91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истекший период 2019 года»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913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Проверено 25 966,0 тыс. рублей средств местного бюджета.</w:t>
      </w:r>
    </w:p>
    <w:p w:rsidR="00BE09AC" w:rsidRPr="00BE09AC" w:rsidRDefault="00BE09AC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учреждением допущены нарушени</w:t>
      </w:r>
      <w:r w:rsidR="00AE7D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законодательства и других нормативно-правовых актов</w:t>
      </w:r>
      <w:r w:rsidR="00C9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 стоимостную оценку </w:t>
      </w:r>
      <w:r w:rsidR="00C91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общую сумму 50,6 тыс. рублей</w:t>
      </w: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BE09AC" w:rsidRDefault="00BE09AC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79E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79E4" w:rsidRPr="0091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становленные штатными расписаниями должностные оклады не соответствуют должностным окладам установленным Постановлением администрации Навлинского района от 27.06.2017 года №383 «Об </w:t>
      </w:r>
      <w:r w:rsidR="009179E4" w:rsidRPr="009179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утверждении Положения об оплате труда работников муниципальных бюджетных учреждений культуры муниципального образования Навлинский район». В связи с чем </w:t>
      </w:r>
      <w:proofErr w:type="spellStart"/>
      <w:r w:rsidR="009179E4" w:rsidRPr="009179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недоначислено</w:t>
      </w:r>
      <w:proofErr w:type="spellEnd"/>
      <w:r w:rsidR="009179E4" w:rsidRPr="0091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заработной платы работникам Детской библиотеки в сумме 49,6 тыс. рублей</w:t>
      </w:r>
      <w:r w:rsidR="00AC67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7DA2" w:rsidRDefault="00AE7DA2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внезапная проверка кассы учреждения, по результатам которой установлено: в кассе учреждения 09.07.2019 года находились излишки денежных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в сумме 1,0 тыс. рублей.</w:t>
      </w:r>
    </w:p>
    <w:p w:rsidR="00AE7DA2" w:rsidRPr="00BE09AC" w:rsidRDefault="00AE7DA2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Допущено значительное количество нарушений не имеющих стоимостной оценки:</w:t>
      </w:r>
    </w:p>
    <w:p w:rsidR="00AC6763" w:rsidRDefault="00BE09AC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79E4" w:rsidRPr="009179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в 2018 году нарушены нормы п.3.5 статьи 32 Закона №7 – ФЗ</w:t>
      </w:r>
      <w:r w:rsidR="00AE7D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7DA2" w:rsidRPr="00AE7D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E7DA2" w:rsidRPr="00AE7D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правомерно</w:t>
      </w:r>
      <w:r w:rsidR="00AE7DA2" w:rsidRPr="00AE7D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производилось размещение информации на сайте</w:t>
      </w: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9AC" w:rsidRPr="00BE09AC" w:rsidRDefault="00BE09AC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79E4" w:rsidRPr="009179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требований части 2 порядка №3210 – У в учреждении не установлен лимит</w:t>
      </w:r>
      <w:r w:rsid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остатка наличных денег в кассе</w:t>
      </w: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9AC" w:rsidRPr="00BE09AC" w:rsidRDefault="00BE09AC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553EA" w:rsidRP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пункта 167 Инструкции №157н денежные средства сдавались в кассу без оформления Реестра сдачи документов</w:t>
      </w:r>
      <w:r w:rsidR="004D60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09AC" w:rsidRPr="00BE09AC" w:rsidRDefault="00BE09AC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денежных средств подотчет производилась по оформленным не должным образом документам</w:t>
      </w: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53EA" w:rsidRDefault="00A553EA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учреждению в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передано в оперативное управление отдельно стоящее здание (гараж) без земельного участка под ним. Нарушен принцип единства судьбы земельных участков и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чно связанных с ними объектов;</w:t>
      </w:r>
    </w:p>
    <w:p w:rsidR="00A553EA" w:rsidRDefault="00A553EA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занимает </w:t>
      </w:r>
      <w:r w:rsidR="002A6E08" w:rsidRP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здание,</w:t>
      </w:r>
      <w:r w:rsidRP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переданное ему в оперативное управление </w:t>
      </w:r>
      <w:r w:rsidR="002A6E08" w:rsidRP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использует</w:t>
      </w:r>
      <w:r w:rsidRP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E08" w:rsidRP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</w:t>
      </w:r>
      <w:r w:rsidRP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переданный в постоянное (бессрочное) пользование. Нарушен п.9 ст. 9.2 Закона 7-ФЗ</w:t>
      </w:r>
      <w:r w:rsidR="002A6E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6E08" w:rsidRDefault="002A6E08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у</w:t>
      </w:r>
      <w:r w:rsidRPr="002A6E08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занимает здание детской библиотеки, не преданное ему в оперативное управление. Нарушен п.9 ст. 9.2 Закона 7-ФЗ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6E08" w:rsidRPr="00BE09AC" w:rsidRDefault="002A6E08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у</w:t>
      </w:r>
      <w:r w:rsidRPr="002A6E08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чреждению передано в оперативное управление здание - гараж. Право оперативного управления в регистрирующем органе не зарегистрировано. Нарушена ст. 131 ГК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233A" w:rsidRDefault="00BE09AC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A6E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A6E08" w:rsidRPr="002A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онтрактный управляющий, в течение проверяемого периода не соответствовал требованиям части 6 статьи 38 Закона №44 - ФЗ, </w:t>
      </w:r>
      <w:r w:rsidR="002A6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имел</w:t>
      </w:r>
      <w:r w:rsidR="002A6E08" w:rsidRPr="002A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высшее или дополнительное профессиональное образование в сфере закупок</w:t>
      </w:r>
      <w:r w:rsidR="00AE7D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7DA2" w:rsidRDefault="00AE7DA2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других нарушений и недостатков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6E08" w:rsidRDefault="002A6E08" w:rsidP="003E5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</w:t>
      </w:r>
      <w:r w:rsidR="00B82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вынесено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</w:t>
      </w:r>
      <w:r w:rsidR="00B82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нарушений, которое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 </w:t>
      </w:r>
      <w:r w:rsidR="00B825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исполнено два предложения в связи с длительным сроком проведения процедур: </w:t>
      </w:r>
      <w:r w:rsidRPr="002A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здание, расположенное в п. Навля ул. Леонарда Гарсиа д.13 (центральный офис) и земельный участок под ним оформляется для передачи в оперативное управление. </w:t>
      </w:r>
    </w:p>
    <w:p w:rsidR="00225AAE" w:rsidRDefault="00225AAE" w:rsidP="003E54F0">
      <w:pPr>
        <w:pStyle w:val="a3"/>
        <w:numPr>
          <w:ilvl w:val="0"/>
          <w:numId w:val="17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характеристика экспертно-аналитических мероприятий</w:t>
      </w:r>
    </w:p>
    <w:p w:rsidR="00225AAE" w:rsidRDefault="00225AAE" w:rsidP="003E54F0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полномочий, возложенных Бюджетным кодексом Российской Федерации, Контрольно-счетной палатой в 201</w:t>
      </w:r>
      <w:r w:rsid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2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проведены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внешних проверок годовых отчетов об исполнения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и сельских поселений, районного бюджета.</w:t>
      </w:r>
    </w:p>
    <w:p w:rsidR="00225AAE" w:rsidRDefault="00225AAE" w:rsidP="003E54F0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выявленных нарушений по результатам проведенных внешних проверок </w:t>
      </w:r>
      <w:r w:rsid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годовых отчетов </w:t>
      </w:r>
      <w:r w:rsidRPr="0022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1C73F4">
        <w:rPr>
          <w:rFonts w:ascii="Times New Roman" w:eastAsia="Times New Roman" w:hAnsi="Times New Roman" w:cs="Times New Roman"/>
          <w:sz w:val="28"/>
          <w:szCs w:val="28"/>
          <w:lang w:eastAsia="ru-RU"/>
        </w:rPr>
        <w:t>225,8</w:t>
      </w:r>
      <w:r w:rsidRPr="0022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в разрезе видов нарушений по структуре Классификатора нарушений, выявляемых в ходе внешнего государственного аудита (контроля):</w:t>
      </w:r>
    </w:p>
    <w:p w:rsidR="004224C6" w:rsidRDefault="001C73F4" w:rsidP="003E54F0">
      <w:pPr>
        <w:pStyle w:val="a3"/>
        <w:numPr>
          <w:ilvl w:val="0"/>
          <w:numId w:val="20"/>
        </w:numPr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порядка применения бюджетной классификации – 90,0 тыс. рублей, в частности</w:t>
      </w:r>
      <w:r w:rsidR="004224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73F4" w:rsidRDefault="001C73F4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C7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анализе расходов по подразделу 10 03 «Социальное обеспечение населения» ф. 0503127 установлено: производились выплаты материальной помощи в связи с пожаром домовладения за счет резервного фонда в общей сумме 90</w:t>
      </w:r>
      <w:r w:rsid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1C7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Указанные расходы следовало производить по подразделу 10 06 «Другие вопросы в области социальной политики», нарушены требования Указаний о порядке применения бюджетной классификации Российской Федерации, утвержденных приказом Минфина России от 01.07.2013 № 65н (Администрация Навлинского района)</w:t>
      </w:r>
      <w:r w:rsid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390B" w:rsidRDefault="004224C6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390B" w:rsidRP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требований бюджетного законодательства план по переданным полномочиям по направлению расходов 83760 в коде целевой </w:t>
      </w:r>
      <w:r w:rsidR="00A2390B" w:rsidRP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статьи 7001483760 занижен на </w:t>
      </w:r>
      <w:r w:rsid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t>72,3</w:t>
      </w:r>
      <w:r w:rsidR="00A2390B" w:rsidRP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неправомерно увеличен по 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статье </w:t>
      </w:r>
      <w:r w:rsidR="00A2390B" w:rsidRP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t>7001481830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90B" w:rsidRP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t>72,3</w:t>
      </w:r>
      <w:r w:rsidR="00A2390B" w:rsidRP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чем нарушены требования Приказа Минфина России от 01.07.2013 N 65н «Об утверждении Указаний о порядке применения бюджетной классификации Российской Федерации» (</w:t>
      </w:r>
      <w:proofErr w:type="spellStart"/>
      <w:r w:rsidR="00A2390B" w:rsidRP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Клюковенская</w:t>
      </w:r>
      <w:proofErr w:type="spellEnd"/>
      <w:r w:rsidR="00A2390B" w:rsidRP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</w:t>
      </w:r>
      <w:r w:rsid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390B" w:rsidRPr="00A2390B">
        <w:t xml:space="preserve"> </w:t>
      </w:r>
      <w:r w:rsidR="00A2390B" w:rsidRP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Соколовская сельская администрация</w:t>
      </w:r>
      <w:r w:rsid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390B" w:rsidRPr="00A2390B">
        <w:t xml:space="preserve"> </w:t>
      </w:r>
      <w:proofErr w:type="spellStart"/>
      <w:r w:rsidR="00A2390B" w:rsidRPr="00A2390B">
        <w:rPr>
          <w:rFonts w:ascii="Times New Roman" w:hAnsi="Times New Roman" w:cs="Times New Roman"/>
          <w:sz w:val="28"/>
          <w:szCs w:val="28"/>
        </w:rPr>
        <w:t>Чичковская</w:t>
      </w:r>
      <w:proofErr w:type="spellEnd"/>
      <w:r w:rsidR="00A2390B" w:rsidRP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24C6" w:rsidRDefault="004224C6" w:rsidP="003E54F0">
      <w:pPr>
        <w:pStyle w:val="a3"/>
        <w:numPr>
          <w:ilvl w:val="0"/>
          <w:numId w:val="20"/>
        </w:numPr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63,5 тыс. рублей, в частности:</w:t>
      </w:r>
    </w:p>
    <w:p w:rsidR="004224C6" w:rsidRDefault="004224C6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2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взносов на капитальный ремонт многоквартирных домов, находящихся в собственности поселения произведена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63,5</w:t>
      </w:r>
      <w:r w:rsidRPr="0042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иных межбюджетных трансфертов, представленных из районного бюджета, на основании порядка и методики утвержденной решением Навлинского районного Совета, что противоречит нормам статьи 169 Жилищного Кодекса РФ, части 2 статьи 2 Закона Брянской области от 11.06.2013 № 40-З (</w:t>
      </w:r>
      <w:proofErr w:type="spellStart"/>
      <w:r w:rsidRPr="004224C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Клюковенская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24C6">
        <w:t xml:space="preserve"> </w:t>
      </w:r>
      <w:r w:rsidRPr="00422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Чичковская</w:t>
      </w:r>
      <w:proofErr w:type="spellEnd"/>
      <w:r w:rsidRPr="0042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2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A1C" w:rsidRDefault="00ED4A1C" w:rsidP="003E54F0">
      <w:pPr>
        <w:pStyle w:val="a3"/>
        <w:numPr>
          <w:ilvl w:val="0"/>
          <w:numId w:val="20"/>
        </w:numPr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общих требований к бухгалтерской (финансовой) отчетности экономического субъекта, в том числе к ее составу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4A1C" w:rsidRDefault="00ED4A1C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>ф. 0503127 заполнена с нарушением требований пункта 54 Приказа 191н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авлинского района)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4A1C" w:rsidRDefault="00ED4A1C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0503164 заполнена с нарушением требований пункта 163 Инструкции 191н (Администрация Навлинского района, Отдел по управлению муниципальным имуществом,</w:t>
      </w:r>
      <w:r w:rsid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образования, финансовое управление сводный отчет)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4A1C" w:rsidRDefault="00ED4A1C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0503174 заполнена с нарушением требований пункта 170.1 Инструкции 191н (Отдел по управлению муниципальным имуществом)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4A1C" w:rsidRDefault="00ED4A1C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0503128 заполнена с нарушением требований пункта 70 Инструкции 191н (администрация района, отдел образования)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4A1C" w:rsidRDefault="00ED4A1C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0503161 заполнена с нарушением требований п. 160 Инструкции 191н (Отдел образования)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4A1C" w:rsidRDefault="00ED4A1C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требований пункта 161 Инструкции 191н представлена форма 0503162, не должна представляться (ГРБС не имеет муниципального задания)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15DE" w:rsidRP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5DE" w:rsidRP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0503163 заполнена с нарушением требований пункта 162 Инструкции 191н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15DE" w:rsidRP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5DE" w:rsidRP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0503173 заполнена с нарушением требований пункта 170 Инструкции 191н </w:t>
      </w:r>
      <w:r w:rsidRP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(Отдел образования)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4A1C" w:rsidRDefault="00ED4A1C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 1 ф.0503117 заполнена с нарушением требований пункта 134 Приказа 191н,</w:t>
      </w:r>
      <w:r w:rsidR="00C315DE" w:rsidRP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5DE" w:rsidRP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0503124 предоставлена по не установленной Инструкцией 191н форме (отсутствуют отдельные строки)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15DE" w:rsidRP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315DE" w:rsidRPr="00A2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 отчета 0503175 заполнена с нарушением пункта 170.2 Инструкции 191н </w:t>
      </w:r>
      <w:r w:rsidRPr="00ED4A1C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(финансовое управление сводный отчет)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390B" w:rsidRDefault="009E5597" w:rsidP="003E54F0">
      <w:pPr>
        <w:pStyle w:val="a3"/>
        <w:numPr>
          <w:ilvl w:val="0"/>
          <w:numId w:val="20"/>
        </w:numPr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епредставление или представление с нарушением сроков бюджетной отчетности, либо представление заведомо недостоверной бюджетной отчетности, нарушение порядка составления и предоставления отчета об исполнении бюджетов бюджетной системы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597" w:rsidRDefault="009E5597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представлено приложение об исполнении расходов бюджета по разделам и подразделам классификации расходов бюджетов (нарушена статья 264.6 БК РФ) (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Алешенская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Вздруженская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Пролысовская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Ревенская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Салтановская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Соколовская,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Синезерская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сельские администрации)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5597" w:rsidRDefault="009E5597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требований статьи 264.6 Бюджетного кодекса Российской Федерации одновременно с проектом решения об исполнении бюджета поселения не представлены приложения об исполнении: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по кодам классификации доходов бюджетов;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по ведомственной структуре расходов соответствующего бюджета;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по разделам и подразделам классификации расходов бюджетов;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дефицита бюджета по кодам классификации источников финансирования дефицитов бюджетов (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Бяковская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5597" w:rsidRDefault="009E5597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представлены приложения с показателями, не соответствующими требованиям статьи 264.6 Бюджетного Кодекса РФ: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приложениях 1, 3, 6 должны отражаться только данные об исполнении доходов бюджета</w:t>
      </w:r>
      <w:r w:rsidR="00AA51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бюджета, источников финансирования дефицита бюджета соответственно (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Алешенская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5597" w:rsidRDefault="009E5597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материалах отчета об исполнении бюджета не представлен доклад о ходе реализации и оценке эффективности реализации муниципальной программы за 2018 год. Отсутствует анализ достижений запланированных плановых значений индикаторов, характеризующих решение задач программы (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Алтуховская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поселковая администрация.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Алешенская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Бяковская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Вздруженская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Клюковенская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Пролысовская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Ревенская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Салтановское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Синезерская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Соколовская,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Чичковская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Щегловская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5597" w:rsidRDefault="009E5597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 проекта решения отражены основные характеристики исполнения бюджета, не соответствующие показателям формы 0503117. Указаны плановые показатели бюджета, а следовало указать показатели исполнения бюджета, в результате чего показатели по доходам занижены на 993 209 рублей 04 копейки, по расходам завышены на 22 348 725 рублей 13 копеек (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Навлинское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5597" w:rsidRDefault="009E5597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4 к решению об исполнении бюджета данные об исполнении источников финансирования дефицита бюджета по кодам классификации источников финансирования дефицитов бюджетов не соответствуют показателям формы 0503117 (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Пролысовская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5597" w:rsidRDefault="009E5597" w:rsidP="003E54F0">
      <w:pPr>
        <w:pStyle w:val="a3"/>
        <w:numPr>
          <w:ilvl w:val="0"/>
          <w:numId w:val="20"/>
        </w:numPr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общих требований к бухгалтерской (финансовой) отчетности экономического субъекта, в том числе к ее составу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597" w:rsidRDefault="009E5597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0503128 «Отчет о бюджетных обязательствах» заполнена с нарушением требований пункта 70 Инструкции 191н (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Алешенская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Бяковская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Вздруженская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Клюковенская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Ревенская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Салтановская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Синезерская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Соколовская сельские администрации, 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Алтуховская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поселковая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5597" w:rsidRDefault="009E5597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0503160 «Пояснительная записка» заполнена с нарушением пункт 8, пункта 161 Инструкции 191н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5DE"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0503164 «Сведения об исполнении бюджета» в нарушение пункта 163 Инструкции №191н в графе 8 не заполнены коды причин</w:t>
      </w:r>
      <w:r w:rsidR="00AA51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15DE"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графе 9 отсутствуют пояснения причин отклонения от доведенного финансовым органом и (или) пользователем бюджетной отчетности планового процента исполнения на отчетную дату </w:t>
      </w:r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Алешенская</w:t>
      </w:r>
      <w:proofErr w:type="spellEnd"/>
      <w:r w:rsidRPr="009E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администрация)</w:t>
      </w:r>
      <w:r w:rsid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68A8" w:rsidRDefault="00B568A8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0503163 «Сведения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 заполнена с нарушением пункта 162 Инструкции №191н ((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Алтуховская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поселковая администрация,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Бяковская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Алешенская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Клюковенская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Пролысовская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Ревенская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Синезерская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сельские администрации)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68A8" w:rsidRDefault="00B568A8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0503160 «Пояснительная записка» отсутствует раздел 3 в котором отражается иная информация, оказавшая существенное влияние и характеризующая результаты исполнения бюджета субъектом бюджетной отчетности за отчетный период, не нашедшая отражения в таблицах и приложениях, включаемых в раздел, отдел</w:t>
      </w:r>
      <w:r w:rsidR="00AA519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таблицы заполнены с нарушением требований Инструкции 191н или таблицы не представлены</w:t>
      </w:r>
      <w:r w:rsidR="00AA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Алтуховская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поселковая администрация,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Бяковская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Вздруженская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Клюковенская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Пролысовская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Салтановская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Синезерская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Соколовская сельские администрации)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68A8" w:rsidRDefault="00B568A8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графе 3 раздела 2 формы 0503117 «Отчет об исполнении бюджета» заполнена с нарушением требований пункта 134 Инструкции 191н, не сформированы промежуточные итоги по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группировочным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кодам бюджетной классификации Российской Федерации расходов бюджета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5DE"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0503161 заполнена неверно, не отражены данные в строках 050, 051, нарушен пункт 160 Инструкции 191н </w:t>
      </w: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Бяковская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68A8" w:rsidRDefault="00B568A8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0503164 представлена по не установленной форме (отсутствуют графы 8,9), в графе 1 не указан код главы; не заполнена графа 4, нарушен пункт 163 Инструкции №191н (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Бяковская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Вздруженская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Пролысовская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Ревенская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Синезерская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сельские администрации)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68A8" w:rsidRDefault="00B568A8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0503117 «Отчет об исполнении бюджета» заполнена с нарушением требований пункта 134 Инструкции 191н (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Вздруженская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Клюковенская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сельские администрации, финансовое управление администрации Навлинского района (бюджет Навлинского городского поселения)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68A8" w:rsidRDefault="00B568A8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составе отчетности представлена форма 0503175 «Сведения о принятых и неисполненных обязательствах получателя бюджетных средств» при анализе которой, установлено несоответствие с формой 0503128. Нарушены требования пункта 170.2 Инструкции 191н (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Вздруженская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68A8" w:rsidRDefault="00B568A8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0503124 в графе 4 раздела 1 Утвержденные бюджетные назначения заполнены с нарушением требований пункта 121 Инструкции 191н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15DE"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п. 154 Инструкции 191н представлена таблица 2 "Сведения о мерах по повышению эффективности расходования бюджетных средств", не должна представляться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15DE"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0503164 «Сведения об исполнении бюджета» в нарушение пункта 163 Инструкции №191н в графе 9 отсутствуют пояснения причин отклонения от доведенного финансовым органом и (или) пользователем бюджетной отчетности планового процента исполнения на отчетную дату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15DE"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Клюковенская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68A8" w:rsidRDefault="00B568A8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формы 0503160, таблицы 3, 4, 5, 7, формы 0503163, 0503164, 0503169 (дебиторская и кредиторская задолженность), 0503175, 0503178 представленные Финансовым управлением в сводном консолидированном отчете имеют расхождения с пояснительной запиской, таблицами и формами, представленными администрацией Навлинского района (ГРБС), в части информационной наполняемости фактических показателей. Нарушено требование пункта 10 Инструкции 191н (финансовое </w:t>
      </w: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управление администрации 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поселение);</w:t>
      </w:r>
    </w:p>
    <w:p w:rsidR="00B568A8" w:rsidRDefault="00B568A8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0503175 в графе 7 раздела 2 указан код «72» не предусмотренный пунктом 170.2 Инструкции 191н; при анализе соответствия заполнения форм 0503128 и 0503175 установлено не правильное отражение аналитической информации: не исполненные денежные обязательства отражаются по счету аналитического учета счета 150212000 «Принятые денежные обязательства на текущий финансовый год», нарушены требования пункта 170.2 Инструкции 191н в сумме 316 166,86 рублей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15DE"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0503169 (дебиторская) заполнена с нарушением требований пункта 167 Инструкции 191н </w:t>
      </w: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администрация);</w:t>
      </w:r>
    </w:p>
    <w:p w:rsidR="00B568A8" w:rsidRDefault="00B568A8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0503163 «Сведения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 в графе 1 не заполнены коды групп, подгрупп, статей, видов источников финансирования дефицита бюджета, по бюджетной классификации Российской Федерации, по которым в отчетном периоде осуществлялись изменения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0503164 «Сведения об исполнении бюджета» в графе 9 не указаны пояснения. Нарушено требование пункта 163 Инструкции 191н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представлена форма 0503178 при наличии остатков на счетах в сумме 1 124,3 тыс. рублей, нарушено требование пункта 173 Инструкции 191н (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Салтановская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68A8" w:rsidRDefault="00B568A8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представлена форма 0503173 (</w:t>
      </w:r>
      <w:proofErr w:type="spellStart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Синезерская</w:t>
      </w:r>
      <w:proofErr w:type="spellEnd"/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482" w:rsidRDefault="00B568A8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0503163 «Сведения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 в нарушение пункта 162 Инструкции №191н, в графе 5 в 7 случаях не указаны причины внесенных уточнений со ссылкой на правовые основания их внесения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0503164 «Сведения об исполнении бюджета» в графе 9 указано «иные причины», без расшифровки причин. Нарушено требование пункта 163 Инструкции 191н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представлена форма 0503173 которая не имеет числовых показателей. Нарушено требование пункта 6 Инструкции 191н (Соколовская сельская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482" w:rsidRDefault="00B568A8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0503160 «Пояснительная записка» в разделе 3 не указана иная информация, оказавшая существенное влияние и характеризующая результаты исполнения бюджета субъектом бюджетной отчетности за отчетный период, не нашедшая отражения в таблицах и пр</w:t>
      </w:r>
      <w:r w:rsid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иложениях, включаемых в раздел; </w:t>
      </w: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форм отчетности, не включенных в состав бюджетной отчетности за отчетный период ввиду отсутствия числовых значений показателей, должны отражаться в разделе 5, нарушен пункт 8 Инструкции 191н;</w:t>
      </w:r>
      <w:r w:rsid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8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3 не раскрыты причины отклонения от плановых показателей представленные в форме 0503164, нарушен пункт 152 Инструкции 191н</w:t>
      </w:r>
      <w:r w:rsidR="00C3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5482"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0503128 «Отчет о бюджетных обязательствах» заполнена с нарушением требований пункта 70 Инструкции 191н</w:t>
      </w:r>
      <w:r w:rsidR="00EB17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5482"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0503163 «Сведения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 заполнена с нарушением пункта 162 Инструкции №191н</w:t>
      </w:r>
      <w:r w:rsidR="00EB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5482"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0503164 «Сведения об исполнении бюджета» в графе 9 указано «иные причины», без расшифровки причин. Нарушено требование пункта 163 Инструкции 191н (</w:t>
      </w:r>
      <w:proofErr w:type="spellStart"/>
      <w:r w:rsidR="00695482"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Чичковская</w:t>
      </w:r>
      <w:proofErr w:type="spellEnd"/>
      <w:r w:rsidR="00695482"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администрация)</w:t>
      </w:r>
      <w:r w:rsid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482" w:rsidRDefault="00695482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0503160 «Пояснительная записка» и таблицы заполнены с нарушением требований Инструкции 191н</w:t>
      </w:r>
      <w:r w:rsidR="00EB17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0503128 «Отчет о бюджетных обязательствах» заполнена с нарушением требований пункта 70 Инструкции 191н</w:t>
      </w:r>
      <w:r w:rsidR="00EB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форма 0503162 «Сведения о результатах деятельности» которая не должна представляться, </w:t>
      </w:r>
      <w:proofErr w:type="spellStart"/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Щегловская</w:t>
      </w:r>
      <w:proofErr w:type="spellEnd"/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 не имеет муниципального задания, нарушены требования пункта 161 Инструкции 191н</w:t>
      </w:r>
      <w:r w:rsidR="00EB17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0503163 «Сведения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 заполнена с </w:t>
      </w:r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нарушением требований пункта 162 Инструкции №191н, заполнены данные которые не содержат отклонений от первоначально утвержденного решения о бюджете, не указаны причины внесенных уточнений со ссылкой на правовые основания их внесения</w:t>
      </w:r>
      <w:r w:rsidR="00EB17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0503164 «Сведения об исполнении бюджета» в графе 8 не 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 код причины отклонений от планового процента, в графе 9 не указаны пояснения. Нарушено требование пункта 163 Инструкции 191</w:t>
      </w:r>
      <w:r w:rsidR="00AA5194"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A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5194"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0503173 которая не имеет числовых показателей. Нарушено требование пункта 6 Инструкции 191н (</w:t>
      </w:r>
      <w:proofErr w:type="spellStart"/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Щегловская</w:t>
      </w:r>
      <w:proofErr w:type="spellEnd"/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482" w:rsidRDefault="00695482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требований пункта 166 Инструкции 191н не представлена форма 0503168 (имущество, составляющее муниципальную казну)</w:t>
      </w:r>
      <w:r w:rsidR="00EB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представлена форма 0503178 по бюджетному виду деятельности (</w:t>
      </w:r>
      <w:proofErr w:type="spellStart"/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Навлинское</w:t>
      </w:r>
      <w:proofErr w:type="spellEnd"/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482" w:rsidRDefault="00695482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еэффективное использование средств, выразившееся в уплате судебных расходов (госпошлины)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11 тыс. рублей </w:t>
      </w:r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Клюковенская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Чичковская</w:t>
      </w:r>
      <w:proofErr w:type="spellEnd"/>
      <w:r w:rsidRPr="006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4E7" w:rsidRDefault="007474E7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полномочий, возложенных Бюджетным кодексом Российской Федерации, Контрольно-счетной палатой в 2019 году проведены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отчетов </w:t>
      </w: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исполнения бюджетов городских и сельских поселений,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квартал, за 1 полугодие и за 9 месяцев 2019 года</w:t>
      </w: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A1C" w:rsidRDefault="007474E7" w:rsidP="003E54F0">
      <w:pPr>
        <w:pStyle w:val="a3"/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выявленных нарушений по результатам проведенных внешних проверок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годовых отчетов </w:t>
      </w:r>
      <w:r w:rsidRPr="0022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1 504,3</w:t>
      </w:r>
      <w:r w:rsidRPr="0022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в разрезе видов нарушений по структуре Классификатора нарушений, выявляемых в ходе внешнего государственного аудита (контроля):</w:t>
      </w:r>
    </w:p>
    <w:p w:rsidR="007474E7" w:rsidRDefault="007474E7" w:rsidP="003E54F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порядка применения бюджетной классификации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74E7" w:rsidRDefault="007474E7" w:rsidP="003E54F0">
      <w:pPr>
        <w:pStyle w:val="a3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Навлинского района по соглашению переданы полномочия в сфере </w:t>
      </w:r>
      <w:r w:rsidR="009E73B3"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хозяйства,</w:t>
      </w: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финансируются из бюджета </w:t>
      </w:r>
      <w:r w:rsidR="009E73B3"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иными</w:t>
      </w: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межбюджетными тран</w:t>
      </w:r>
      <w:r w:rsid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фертами по коду направления расходов 83740. Сельскими администрациями неправомерно изменен код направления расходов с 83740 на 81610 и произведен кассовый расход</w:t>
      </w:r>
      <w:r w:rsid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1 437,6 тыс. рублей</w:t>
      </w: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Нарушены требования Инструкции 132н. (</w:t>
      </w:r>
      <w:proofErr w:type="spellStart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Алешенская</w:t>
      </w:r>
      <w:proofErr w:type="spellEnd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Бяковская</w:t>
      </w:r>
      <w:proofErr w:type="spellEnd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Вздруженская</w:t>
      </w:r>
      <w:proofErr w:type="spellEnd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Клюковенская</w:t>
      </w:r>
      <w:proofErr w:type="spellEnd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Пролысовская</w:t>
      </w:r>
      <w:proofErr w:type="spellEnd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Ревенская</w:t>
      </w:r>
      <w:proofErr w:type="spellEnd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Салтановская</w:t>
      </w:r>
      <w:proofErr w:type="spellEnd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Синезерская</w:t>
      </w:r>
      <w:proofErr w:type="spellEnd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Соколовская, </w:t>
      </w:r>
      <w:proofErr w:type="spellStart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Чичковская</w:t>
      </w:r>
      <w:proofErr w:type="spellEnd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Щегловская</w:t>
      </w:r>
      <w:proofErr w:type="spellEnd"/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сельские администрации)</w:t>
      </w:r>
      <w:r w:rsid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73B3" w:rsidRDefault="009E73B3" w:rsidP="003E54F0">
      <w:pPr>
        <w:pStyle w:val="a3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Навлинского района сельским поселениям по соглашению переданы полномочия в сфере жилищного хозяйства, которые финансируются из бюджета района иными межбюджетными тран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фертами по коду направления расходов 83760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дминистрациями сельских поселений неправомерно изменено наименование кода направления расходо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произведен кассовый расход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6,0 тыс. рублей</w:t>
      </w:r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Нарушены требования Инструкции 132н, Приказа </w:t>
      </w:r>
      <w:proofErr w:type="spellStart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финуправления</w:t>
      </w:r>
      <w:proofErr w:type="spellEnd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28.12.2018 года №107 (</w:t>
      </w:r>
      <w:proofErr w:type="spellStart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Алешенская</w:t>
      </w:r>
      <w:proofErr w:type="spellEnd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Бяковская</w:t>
      </w:r>
      <w:proofErr w:type="spellEnd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Пролысовская</w:t>
      </w:r>
      <w:proofErr w:type="spellEnd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Ревенская</w:t>
      </w:r>
      <w:proofErr w:type="spellEnd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Синезерская</w:t>
      </w:r>
      <w:proofErr w:type="spellEnd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Щегловская</w:t>
      </w:r>
      <w:proofErr w:type="spellEnd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сельские администрации)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73B3" w:rsidRDefault="009E73B3" w:rsidP="003E54F0">
      <w:pPr>
        <w:pStyle w:val="a3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требований бюджетного законодательства план расходов по переданным полномочиям от района сельским поселениям по направлению расходов 83760 по подразделу 01 раздела 05 занижен сельскими поселениями на 55,4 тыс. рублей и неправомерно увеличен сельскими поселениями по напр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влению расходов 81830 по подразделу 01 раздела 05 на 55,4 тыс. рублей, нарушены требования Приказа Минфина России от 08.06.2018 </w:t>
      </w:r>
      <w:r w:rsidR="00EB171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132н (</w:t>
      </w:r>
      <w:proofErr w:type="spellStart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Клюковенская</w:t>
      </w:r>
      <w:proofErr w:type="spellEnd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Чичковская</w:t>
      </w:r>
      <w:proofErr w:type="spellEnd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сельские администрации)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73B3" w:rsidRDefault="009E73B3" w:rsidP="003E54F0">
      <w:pPr>
        <w:pStyle w:val="a3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взносов на капитальный ремонт многоквартирных домов находящихся в собственности поселений произведена в сумме 5,3 тыс. рублей за счет иных межбюджетных трансфертов, представленных из районного бюджета, на основании порядка и методики утвержденной решением Навлинского районного Совета, что противоречит нормам статьи 169 Жилищного Кодекса РФ, части 2 статьи 2 Закона Брянской области от 11.06.2013 № 40-З (</w:t>
      </w:r>
      <w:proofErr w:type="spellStart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Клюковенская</w:t>
      </w:r>
      <w:proofErr w:type="spellEnd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Чичковская</w:t>
      </w:r>
      <w:proofErr w:type="spellEnd"/>
      <w:r w:rsidRPr="009E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сельские администрации)</w:t>
      </w:r>
      <w:r w:rsidR="00AD7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088" w:rsidRPr="00AB5B51" w:rsidRDefault="00AB5B51" w:rsidP="003E54F0">
      <w:pPr>
        <w:pStyle w:val="a3"/>
        <w:numPr>
          <w:ilvl w:val="0"/>
          <w:numId w:val="17"/>
        </w:numPr>
        <w:spacing w:after="0" w:line="360" w:lineRule="auto"/>
        <w:ind w:left="851" w:hanging="2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Контрольно-счетной палаты с государственными и муниципальными органами</w:t>
      </w:r>
    </w:p>
    <w:p w:rsidR="00EB171A" w:rsidRDefault="00AB5B51" w:rsidP="003E54F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Контрольно – счетная палата входит в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 – счетных органов Брянской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(Совет МКСО)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КСП в 201</w:t>
      </w:r>
      <w:r w:rsidR="00285D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принимал участие </w:t>
      </w:r>
      <w:r w:rsidR="00285D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очередн</w:t>
      </w:r>
      <w:r w:rsidR="0023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2358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="00235809" w:rsidRPr="0023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8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8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</w:t>
      </w:r>
      <w:r w:rsidR="00285D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358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E669CC" w:rsidRPr="00E6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Совета контрольно-сч</w:t>
      </w:r>
      <w:r w:rsidR="00E669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69CC" w:rsidRPr="00E66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органов Брянской</w:t>
      </w:r>
      <w:r w:rsidR="0018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E6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семинарах – совещаниях, «круглых столах» проводимых </w:t>
      </w:r>
      <w:r w:rsidR="0008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Брянской области, </w:t>
      </w:r>
      <w:r w:rsidR="00E66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МКСО.</w:t>
      </w:r>
      <w:r w:rsidR="0023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5B51" w:rsidRDefault="00235809" w:rsidP="003E54F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XIV</w:t>
      </w:r>
      <w:r w:rsidRPr="0023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 проходившей 20.12.2019 года в г. Брянске председателю Контрольно – счетной палаты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="006F33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Острянину</w:t>
      </w:r>
      <w:proofErr w:type="spellEnd"/>
      <w:r w:rsidR="006F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председателем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контрольно – счетных органов муниципальных образований Брянской области </w:t>
      </w:r>
      <w:r w:rsidR="006F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Сафроновой В.Н. вручена Благодарность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качественное обеспечение финансового контроля на территории Брянской области, активное участие в деятельности Совета.</w:t>
      </w:r>
    </w:p>
    <w:p w:rsidR="006F3394" w:rsidRPr="00235809" w:rsidRDefault="006F3394" w:rsidP="003E54F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повышения квалификации муниципальных служащих в Брянской области на 2019 год, в период с 28 октября по 1 ноября 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КСП Навлинского района проходил </w:t>
      </w:r>
      <w:r w:rsidRPr="006F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F33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курсах повышения квалификации по образовательной программе «Финансовый контроль и управление бюджетными ресурсами муниципальных образований» в Брянском филиале ФГБОУ ВО «Российская академия народного хозяйства и государственный службы при Президенте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результатом которого выдано удостоверение.</w:t>
      </w:r>
    </w:p>
    <w:p w:rsidR="00AB5B51" w:rsidRDefault="00AB5B51" w:rsidP="003E54F0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285D7C" w:rsidRPr="00285D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</w:t>
      </w:r>
      <w:r w:rsidR="0094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 – счетную палату Брянской области и в 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КСО </w:t>
      </w:r>
      <w:r w:rsidR="0094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Брянской области 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палаты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информация по разовым запросам. Вся информация направлена качественно и в срок.</w:t>
      </w:r>
    </w:p>
    <w:p w:rsidR="00AB5B51" w:rsidRPr="00AB5B51" w:rsidRDefault="00AB5B51" w:rsidP="003E54F0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B5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82D4D">
        <w:rPr>
          <w:rFonts w:ascii="Times New Roman" w:eastAsia="Calibri" w:hAnsi="Times New Roman" w:cs="Times New Roman"/>
          <w:sz w:val="28"/>
          <w:szCs w:val="28"/>
        </w:rPr>
        <w:t>ноябре 201</w:t>
      </w:r>
      <w:r w:rsidR="00285D7C" w:rsidRPr="00285D7C">
        <w:rPr>
          <w:rFonts w:ascii="Times New Roman" w:eastAsia="Calibri" w:hAnsi="Times New Roman" w:cs="Times New Roman"/>
          <w:sz w:val="28"/>
          <w:szCs w:val="28"/>
        </w:rPr>
        <w:t>9</w:t>
      </w:r>
      <w:r w:rsidR="00082D4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941F9B">
        <w:rPr>
          <w:rFonts w:ascii="Times New Roman" w:eastAsia="Calibri" w:hAnsi="Times New Roman" w:cs="Times New Roman"/>
          <w:sz w:val="28"/>
          <w:szCs w:val="28"/>
        </w:rPr>
        <w:t>,</w:t>
      </w:r>
      <w:r w:rsidR="00082D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1F9B"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r w:rsidR="00285D7C">
        <w:rPr>
          <w:rFonts w:ascii="Times New Roman" w:eastAsia="Calibri" w:hAnsi="Times New Roman" w:cs="Times New Roman"/>
          <w:sz w:val="28"/>
          <w:szCs w:val="28"/>
        </w:rPr>
        <w:t>изменением количества сельских поселений</w:t>
      </w:r>
      <w:r w:rsidR="00941F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B5B51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Контрольно-счетной палатой </w:t>
      </w:r>
      <w:r w:rsidR="00082D4D">
        <w:rPr>
          <w:rFonts w:ascii="Times New Roman" w:eastAsia="Calibri" w:hAnsi="Times New Roman" w:cs="Times New Roman"/>
          <w:sz w:val="28"/>
          <w:szCs w:val="28"/>
        </w:rPr>
        <w:t xml:space="preserve">подготовлены и заключены </w:t>
      </w:r>
      <w:r w:rsidR="00285D7C">
        <w:rPr>
          <w:rFonts w:ascii="Times New Roman" w:eastAsia="Calibri" w:hAnsi="Times New Roman" w:cs="Times New Roman"/>
          <w:sz w:val="28"/>
          <w:szCs w:val="28"/>
        </w:rPr>
        <w:t>6</w:t>
      </w:r>
      <w:r w:rsidR="00082D4D">
        <w:rPr>
          <w:rFonts w:ascii="Times New Roman" w:eastAsia="Calibri" w:hAnsi="Times New Roman" w:cs="Times New Roman"/>
          <w:sz w:val="28"/>
          <w:szCs w:val="28"/>
        </w:rPr>
        <w:t xml:space="preserve"> новых </w:t>
      </w:r>
      <w:r w:rsidRPr="00AB5B51">
        <w:rPr>
          <w:rFonts w:ascii="Times New Roman" w:eastAsia="Calibri" w:hAnsi="Times New Roman" w:cs="Times New Roman"/>
          <w:sz w:val="28"/>
          <w:szCs w:val="28"/>
        </w:rPr>
        <w:t xml:space="preserve">соглашений с </w:t>
      </w:r>
      <w:r w:rsidR="00082D4D">
        <w:rPr>
          <w:rFonts w:ascii="Times New Roman" w:eastAsia="Calibri" w:hAnsi="Times New Roman" w:cs="Times New Roman"/>
          <w:sz w:val="28"/>
          <w:szCs w:val="28"/>
        </w:rPr>
        <w:t xml:space="preserve">Советами сельских поселений о передаче </w:t>
      </w:r>
      <w:r w:rsidR="00941F9B">
        <w:rPr>
          <w:rFonts w:ascii="Times New Roman" w:eastAsia="Calibri" w:hAnsi="Times New Roman" w:cs="Times New Roman"/>
          <w:sz w:val="28"/>
          <w:szCs w:val="28"/>
        </w:rPr>
        <w:t xml:space="preserve">на районный уровень </w:t>
      </w:r>
      <w:r w:rsidR="00082D4D">
        <w:rPr>
          <w:rFonts w:ascii="Times New Roman" w:eastAsia="Calibri" w:hAnsi="Times New Roman" w:cs="Times New Roman"/>
          <w:sz w:val="28"/>
          <w:szCs w:val="28"/>
        </w:rPr>
        <w:t xml:space="preserve">полномочий </w:t>
      </w:r>
      <w:r w:rsidR="00941F9B">
        <w:rPr>
          <w:rFonts w:ascii="Times New Roman" w:eastAsia="Calibri" w:hAnsi="Times New Roman" w:cs="Times New Roman"/>
          <w:sz w:val="28"/>
          <w:szCs w:val="28"/>
        </w:rPr>
        <w:t>по осуществлению внешнего муниципального финансового контроля сроком на 5 лет</w:t>
      </w:r>
      <w:r w:rsidRPr="00AB5B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794D" w:rsidRPr="00156AA1" w:rsidRDefault="00E57D4F" w:rsidP="003E54F0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AA1"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7D525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</w:t>
      </w:r>
      <w:r w:rsidR="007D525B">
        <w:rPr>
          <w:rFonts w:ascii="Times New Roman" w:eastAsia="Times New Roman" w:hAnsi="Times New Roman" w:cs="Times New Roman"/>
          <w:sz w:val="28"/>
          <w:szCs w:val="28"/>
          <w:lang w:eastAsia="ru-RU"/>
        </w:rPr>
        <w:t>№ 6-ФЗ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548A">
        <w:rPr>
          <w:rFonts w:ascii="Times New Roman" w:eastAsia="Calibri" w:hAnsi="Times New Roman" w:cs="Times New Roman"/>
          <w:sz w:val="28"/>
          <w:szCs w:val="28"/>
        </w:rPr>
        <w:t xml:space="preserve"> со статьей 12 Положения о Контрольно – счетной палате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Навлинского района </w:t>
      </w:r>
      <w:r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156AA1">
        <w:rPr>
          <w:rFonts w:ascii="Times New Roman" w:eastAsia="Calibri" w:hAnsi="Times New Roman" w:cs="Times New Roman"/>
          <w:sz w:val="28"/>
          <w:szCs w:val="28"/>
        </w:rPr>
        <w:t xml:space="preserve">а базе рекомендуемых Контрольно – счетной палатой Брянской области </w:t>
      </w:r>
      <w:r w:rsidR="002E6138">
        <w:rPr>
          <w:rFonts w:ascii="Times New Roman" w:eastAsia="Calibri" w:hAnsi="Times New Roman" w:cs="Times New Roman"/>
          <w:sz w:val="28"/>
          <w:szCs w:val="28"/>
        </w:rPr>
        <w:t xml:space="preserve">(Советом МКСО) </w:t>
      </w:r>
      <w:r w:rsidRPr="00156AA1">
        <w:rPr>
          <w:rFonts w:ascii="Times New Roman" w:eastAsia="Calibri" w:hAnsi="Times New Roman" w:cs="Times New Roman"/>
          <w:sz w:val="28"/>
          <w:szCs w:val="28"/>
        </w:rPr>
        <w:t xml:space="preserve">материалов </w:t>
      </w:r>
      <w:r w:rsidR="004C43A5" w:rsidRPr="00156AA1">
        <w:rPr>
          <w:rFonts w:ascii="Times New Roman" w:eastAsia="Calibri" w:hAnsi="Times New Roman" w:cs="Times New Roman"/>
          <w:sz w:val="28"/>
          <w:szCs w:val="28"/>
        </w:rPr>
        <w:t>разработаны и применяются в работе</w:t>
      </w:r>
      <w:r w:rsidR="007D525B">
        <w:rPr>
          <w:rFonts w:ascii="Times New Roman" w:eastAsia="Calibri" w:hAnsi="Times New Roman" w:cs="Times New Roman"/>
          <w:sz w:val="28"/>
          <w:szCs w:val="28"/>
        </w:rPr>
        <w:t>, в том числе:</w:t>
      </w:r>
      <w:r w:rsidR="004C43A5" w:rsidRPr="00156AA1">
        <w:rPr>
          <w:rFonts w:ascii="Times New Roman" w:eastAsia="Calibri" w:hAnsi="Times New Roman" w:cs="Times New Roman"/>
          <w:sz w:val="28"/>
          <w:szCs w:val="28"/>
        </w:rPr>
        <w:t xml:space="preserve"> стандарты организации деятельности</w:t>
      </w:r>
      <w:r w:rsidR="007D525B">
        <w:rPr>
          <w:rFonts w:ascii="Times New Roman" w:eastAsia="Calibri" w:hAnsi="Times New Roman" w:cs="Times New Roman"/>
          <w:sz w:val="28"/>
          <w:szCs w:val="28"/>
        </w:rPr>
        <w:t>;</w:t>
      </w:r>
      <w:r w:rsidR="004C43A5" w:rsidRPr="00156AA1">
        <w:rPr>
          <w:rFonts w:ascii="Times New Roman" w:eastAsia="Calibri" w:hAnsi="Times New Roman" w:cs="Times New Roman"/>
          <w:sz w:val="28"/>
          <w:szCs w:val="28"/>
        </w:rPr>
        <w:t xml:space="preserve"> стандарты финансового контроля</w:t>
      </w:r>
      <w:r w:rsidR="007D525B">
        <w:rPr>
          <w:rFonts w:ascii="Times New Roman" w:eastAsia="Calibri" w:hAnsi="Times New Roman" w:cs="Times New Roman"/>
          <w:sz w:val="28"/>
          <w:szCs w:val="28"/>
        </w:rPr>
        <w:t>;</w:t>
      </w:r>
      <w:r w:rsidR="004C43A5" w:rsidRPr="00156AA1">
        <w:rPr>
          <w:rFonts w:ascii="Times New Roman" w:eastAsia="Calibri" w:hAnsi="Times New Roman" w:cs="Times New Roman"/>
          <w:sz w:val="28"/>
          <w:szCs w:val="28"/>
        </w:rPr>
        <w:t xml:space="preserve"> регламент деятельности КСП</w:t>
      </w:r>
      <w:r w:rsidR="007D525B">
        <w:rPr>
          <w:rFonts w:ascii="Times New Roman" w:eastAsia="Calibri" w:hAnsi="Times New Roman" w:cs="Times New Roman"/>
          <w:sz w:val="28"/>
          <w:szCs w:val="28"/>
        </w:rPr>
        <w:t>;</w:t>
      </w:r>
      <w:r w:rsidR="004C43A5" w:rsidRPr="00156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525B">
        <w:rPr>
          <w:rFonts w:ascii="Times New Roman" w:eastAsia="Calibri" w:hAnsi="Times New Roman" w:cs="Times New Roman"/>
          <w:sz w:val="28"/>
          <w:szCs w:val="28"/>
        </w:rPr>
        <w:t xml:space="preserve">ежегодный </w:t>
      </w:r>
      <w:r w:rsidR="004C43A5" w:rsidRPr="00156AA1">
        <w:rPr>
          <w:rFonts w:ascii="Times New Roman" w:eastAsia="Calibri" w:hAnsi="Times New Roman" w:cs="Times New Roman"/>
          <w:sz w:val="28"/>
          <w:szCs w:val="28"/>
        </w:rPr>
        <w:t>план работы</w:t>
      </w:r>
      <w:r w:rsidR="007D525B">
        <w:rPr>
          <w:rFonts w:ascii="Times New Roman" w:eastAsia="Calibri" w:hAnsi="Times New Roman" w:cs="Times New Roman"/>
          <w:sz w:val="28"/>
          <w:szCs w:val="28"/>
        </w:rPr>
        <w:t>;</w:t>
      </w:r>
      <w:r w:rsidR="00C2214B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C2214B" w:rsidRPr="00C2214B">
        <w:rPr>
          <w:rFonts w:ascii="Times New Roman" w:eastAsia="Calibri" w:hAnsi="Times New Roman" w:cs="Times New Roman"/>
          <w:sz w:val="28"/>
          <w:szCs w:val="28"/>
        </w:rPr>
        <w:t xml:space="preserve">лассификатор нарушений,  выявляемых в ходе внешнего государственного </w:t>
      </w:r>
      <w:r w:rsidR="00C2214B">
        <w:rPr>
          <w:rFonts w:ascii="Times New Roman" w:eastAsia="Calibri" w:hAnsi="Times New Roman" w:cs="Times New Roman"/>
          <w:sz w:val="28"/>
          <w:szCs w:val="28"/>
        </w:rPr>
        <w:t xml:space="preserve">(муниципального) </w:t>
      </w:r>
      <w:r w:rsidR="00C2214B" w:rsidRPr="00C2214B">
        <w:rPr>
          <w:rFonts w:ascii="Times New Roman" w:eastAsia="Calibri" w:hAnsi="Times New Roman" w:cs="Times New Roman"/>
          <w:sz w:val="28"/>
          <w:szCs w:val="28"/>
        </w:rPr>
        <w:t>аудита (контроля) (в редакции от 22 декабря 2015 г.</w:t>
      </w:r>
      <w:r w:rsidR="00C2214B">
        <w:rPr>
          <w:rFonts w:ascii="Times New Roman" w:eastAsia="Calibri" w:hAnsi="Times New Roman" w:cs="Times New Roman"/>
          <w:sz w:val="28"/>
          <w:szCs w:val="28"/>
        </w:rPr>
        <w:t>)</w:t>
      </w:r>
      <w:r w:rsidR="007D525B">
        <w:rPr>
          <w:rFonts w:ascii="Times New Roman" w:eastAsia="Calibri" w:hAnsi="Times New Roman" w:cs="Times New Roman"/>
          <w:sz w:val="28"/>
          <w:szCs w:val="28"/>
        </w:rPr>
        <w:t>;</w:t>
      </w:r>
      <w:r w:rsidR="004C43A5" w:rsidRPr="00156AA1">
        <w:rPr>
          <w:rFonts w:ascii="Times New Roman" w:eastAsia="Calibri" w:hAnsi="Times New Roman" w:cs="Times New Roman"/>
          <w:sz w:val="28"/>
          <w:szCs w:val="28"/>
        </w:rPr>
        <w:t xml:space="preserve"> другие </w:t>
      </w:r>
      <w:r w:rsidR="0065655A">
        <w:rPr>
          <w:rFonts w:ascii="Times New Roman" w:eastAsia="Calibri" w:hAnsi="Times New Roman" w:cs="Times New Roman"/>
          <w:sz w:val="28"/>
          <w:szCs w:val="28"/>
        </w:rPr>
        <w:t xml:space="preserve">нормативные </w:t>
      </w:r>
      <w:r w:rsidR="004C43A5" w:rsidRPr="00156AA1">
        <w:rPr>
          <w:rFonts w:ascii="Times New Roman" w:eastAsia="Calibri" w:hAnsi="Times New Roman" w:cs="Times New Roman"/>
          <w:sz w:val="28"/>
          <w:szCs w:val="28"/>
        </w:rPr>
        <w:t xml:space="preserve">документы. </w:t>
      </w:r>
    </w:p>
    <w:p w:rsidR="00BE7F70" w:rsidRDefault="00BE7F70" w:rsidP="003E54F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по результатам контрольных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экспертно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аналитических мероприятий в электронном виде заполнены </w:t>
      </w:r>
      <w:r w:rsidR="0085129E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систематизированных карточек учета проведенных мероприятий, а также общая сводная таблица результатов деятельности контрольно – счетной палаты Навлинского района в 201</w:t>
      </w:r>
      <w:r w:rsidR="0085129E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году. Карточки и таблица были направлены в Контрольно – счетную палату Брянской области для согласования и проверки на основании заключенного соглашения с Контрольно – счетной палатой Брянской области о сотрудничестве и взаимодействие. </w:t>
      </w:r>
    </w:p>
    <w:p w:rsidR="002E6138" w:rsidRPr="002E6138" w:rsidRDefault="002E6138" w:rsidP="003E54F0">
      <w:pPr>
        <w:pStyle w:val="a3"/>
        <w:numPr>
          <w:ilvl w:val="0"/>
          <w:numId w:val="17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Информирование о деятельности Контрольно-счетной палаты</w:t>
      </w:r>
    </w:p>
    <w:p w:rsidR="002E6138" w:rsidRDefault="002E6138" w:rsidP="003E54F0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требованиями </w:t>
      </w:r>
      <w:r w:rsidR="007D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19 Закона № 6 – ФЗ и в </w:t>
      </w:r>
      <w:r w:rsidRPr="002E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обеспечения доступа к информации о своей деятельности на официальном сайте </w:t>
      </w:r>
      <w:r w:rsidR="007D52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Навлинского района создана и обновляется страница о деятельности контрольно – счетной палаты Навлинского района. На</w:t>
      </w:r>
      <w:r w:rsidRPr="002E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</w:t>
      </w:r>
      <w:r w:rsidR="007D52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</w:t>
      </w:r>
      <w:r w:rsidRPr="002E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информация, информация о </w:t>
      </w:r>
      <w:r w:rsidR="009D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проведенных </w:t>
      </w:r>
      <w:r w:rsidRPr="002E61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мероприятиях, иная информация.</w:t>
      </w:r>
      <w:r w:rsidR="0085129E" w:rsidRPr="0085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29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зафиксировано 1 625 просмотров страницы о деятельности палаты.</w:t>
      </w:r>
    </w:p>
    <w:p w:rsidR="009D693F" w:rsidRDefault="009D693F" w:rsidP="003E54F0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Контрольно-счетной палаты зарегистрированы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закрытой части п</w:t>
      </w:r>
      <w:r w:rsidRPr="009D69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Счетной палаты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размещенного </w:t>
      </w:r>
      <w:r w:rsidRPr="009D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</w:t>
      </w:r>
      <w:r w:rsidRPr="009C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Интернет, который предназначен для обеспечения взаимодействия Счетной палаты Российской Федерации, контрольно-счетных органов субъектов Российской Федерации и муниципальных образований, а также </w:t>
      </w:r>
      <w:r w:rsidR="00AD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видеоконференций </w:t>
      </w:r>
      <w:r w:rsidR="00AD7F75" w:rsidRPr="009C6F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="009C6F8D" w:rsidRPr="009D6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контрольно-счетными органами</w:t>
      </w:r>
      <w:r w:rsidRPr="009C6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6AA1" w:rsidRPr="00156AA1" w:rsidRDefault="009C6F8D" w:rsidP="003E54F0">
      <w:pPr>
        <w:pStyle w:val="a3"/>
        <w:numPr>
          <w:ilvl w:val="0"/>
          <w:numId w:val="17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</w:t>
      </w:r>
      <w:r w:rsidR="00156AA1" w:rsidRPr="00156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беспечение деятельности контрольно-счетного органа</w:t>
      </w:r>
      <w:r w:rsidR="00156AA1" w:rsidRPr="00156A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7F75" w:rsidRDefault="00D729DA" w:rsidP="003E5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деятельности палаты осуществляется за счет средств местного бюджета муниципального образования Навлинский район.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ведомственной структурой расходов, утвержденной </w:t>
      </w:r>
      <w:r w:rsid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Навлинского районного Совета народных депутатов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муниципального образования «Навлинский район»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6F33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F339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33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(с изменениями), бюджетные ассигнования на содержание и обеспечение деятельности Контрольно-счетной палаты утверждены </w:t>
      </w:r>
      <w:r w:rsidR="006F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AD7F75">
        <w:rPr>
          <w:rFonts w:ascii="Times New Roman" w:eastAsia="Times New Roman" w:hAnsi="Times New Roman" w:cs="Times New Roman"/>
          <w:sz w:val="28"/>
          <w:szCs w:val="28"/>
          <w:lang w:eastAsia="ru-RU"/>
        </w:rPr>
        <w:t>906,4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Исполнение бюджетной сметы Контрольно-счетной палаты в отчетном году составило </w:t>
      </w:r>
      <w:r w:rsidR="00AD7F75">
        <w:rPr>
          <w:rFonts w:ascii="Times New Roman" w:eastAsia="Times New Roman" w:hAnsi="Times New Roman" w:cs="Times New Roman"/>
          <w:sz w:val="28"/>
          <w:szCs w:val="28"/>
          <w:lang w:eastAsia="ru-RU"/>
        </w:rPr>
        <w:t>896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AD7F75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AD7F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506C8"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Предусмотренные на содержание и обеспечение деятельности Контрольно-счетной палаты средства израсходованы, в основном, на оплату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начислениями</w:t>
      </w:r>
      <w:r w:rsidR="00AD7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6C8" w:rsidRDefault="001506C8" w:rsidP="003E5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отчетного периода кадровая работа в Контрольно-счетной палате проводилась в соответствии с федеральным и областным законодательством о </w:t>
      </w:r>
      <w:r w:rsidR="001360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службе.</w:t>
      </w:r>
    </w:p>
    <w:p w:rsidR="004B7188" w:rsidRPr="004D5C46" w:rsidRDefault="004B7188" w:rsidP="003E5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Структура, состав и штатная численность КСП утверждены решением районного Совета народных депутатов муниципального образования Навлинский район. Утвержденная штатная численность КСП – </w:t>
      </w:r>
      <w:r w:rsidR="008512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единицы. Фактическая численность сотрудников в 201</w:t>
      </w:r>
      <w:r w:rsidR="008512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1 единицу.</w:t>
      </w:r>
    </w:p>
    <w:p w:rsidR="00F6311A" w:rsidRPr="004D5C46" w:rsidRDefault="004D5C46" w:rsidP="003E5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контрольно-счетной палатой для обеспечения деятельности на праве оперативного управления закреплено имущество на сумму 8</w:t>
      </w:r>
      <w:r w:rsidR="004079DB">
        <w:rPr>
          <w:rFonts w:ascii="Times New Roman" w:eastAsia="Times New Roman" w:hAnsi="Times New Roman" w:cs="Times New Roman"/>
          <w:sz w:val="28"/>
          <w:szCs w:val="28"/>
          <w:lang w:eastAsia="ru-RU"/>
        </w:rPr>
        <w:t>7,2</w:t>
      </w:r>
      <w:r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BC50BD"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0403" w:rsidRDefault="00F6311A" w:rsidP="003E54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учет осуществляет главный бухгалтер администрации район</w:t>
      </w:r>
      <w:r w:rsidR="001478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безвозмездной основе, на основании соглашения заключенного между председателем палаты и главой администрации района.</w:t>
      </w:r>
    </w:p>
    <w:p w:rsidR="00D729DA" w:rsidRPr="00D729DA" w:rsidRDefault="00D729DA" w:rsidP="003E54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Муниципальным служащим</w:t>
      </w:r>
      <w:r w:rsidRPr="00D729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Контрольно-счетной палаты своевременно представлены сведения о своих доходах, расходах, об имуществе и обязательствах имущественного характера, а также о доходах, расходах, об имуществе и обязательствах имущественного ха</w:t>
      </w:r>
      <w:r w:rsidR="006706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рактера своей супруги (супруга) </w:t>
      </w:r>
      <w:r w:rsidRPr="00D729DA">
        <w:rPr>
          <w:rFonts w:ascii="Times New Roman" w:eastAsia="Calibri" w:hAnsi="Times New Roman" w:cs="Times New Roman"/>
          <w:color w:val="000000"/>
          <w:sz w:val="28"/>
          <w:szCs w:val="28"/>
        </w:rPr>
        <w:t>(далее – сведения). Уполномоченным сотрудником Контрольно-</w:t>
      </w:r>
      <w:r w:rsidRPr="00D729D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счетной палаты по профилактике коррупционных и иных правонарушений проведен анализ предоставленных сведений, в том числе путем сравнения содержащихся в справках сведений со сведениями, предоставленными в предыдущие отчетные периоды, и данными, имеющимися в открытых источниках информации (сайты ФНС, ФССП и т.д.). По результатам проведенной работы обстоятельств, свидетельствующих о предоставлении </w:t>
      </w:r>
      <w:r w:rsidR="006706A1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муниципальным</w:t>
      </w:r>
      <w:r w:rsidRPr="00D729DA">
        <w:rPr>
          <w:rFonts w:ascii="Times New Roman" w:eastAsia="Calibri" w:hAnsi="Times New Roman" w:cs="Times New Roman"/>
          <w:color w:val="000000"/>
          <w:sz w:val="28"/>
          <w:szCs w:val="28"/>
        </w:rPr>
        <w:t>и служащими заведомо недостоверных или неполных сведений, не установлено.</w:t>
      </w:r>
    </w:p>
    <w:p w:rsidR="00D729DA" w:rsidRDefault="00DB2289" w:rsidP="003E54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Св</w:t>
      </w:r>
      <w:r w:rsidR="00D729DA" w:rsidRPr="00D729DA">
        <w:rPr>
          <w:rFonts w:ascii="Times New Roman" w:eastAsia="Calibri" w:hAnsi="Times New Roman" w:cs="Times New Roman"/>
          <w:color w:val="000000"/>
          <w:sz w:val="28"/>
          <w:szCs w:val="28"/>
        </w:rPr>
        <w:t>едения в установленный законодательством срок размещены на</w:t>
      </w:r>
      <w:r w:rsidR="006706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странице Контрольно – счетной палаты на </w:t>
      </w:r>
      <w:r w:rsidR="00D729DA" w:rsidRPr="00D729DA">
        <w:rPr>
          <w:rFonts w:ascii="Times New Roman" w:eastAsia="Calibri" w:hAnsi="Times New Roman" w:cs="Times New Roman"/>
          <w:color w:val="000000"/>
          <w:sz w:val="28"/>
          <w:szCs w:val="28"/>
        </w:rPr>
        <w:t>официально</w:t>
      </w:r>
      <w:r w:rsidR="006706A1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D729DA" w:rsidRPr="00D729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сайт</w:t>
      </w:r>
      <w:r w:rsidR="006706A1">
        <w:rPr>
          <w:rFonts w:ascii="Times New Roman" w:eastAsia="Calibri" w:hAnsi="Times New Roman" w:cs="Times New Roman"/>
          <w:color w:val="000000"/>
          <w:sz w:val="28"/>
          <w:szCs w:val="28"/>
        </w:rPr>
        <w:t>е администрации Навлинского района</w:t>
      </w:r>
      <w:r w:rsidR="00D729DA" w:rsidRPr="00D729D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2572A" w:rsidRPr="00E2572A" w:rsidRDefault="00453249" w:rsidP="003E54F0">
      <w:pPr>
        <w:pStyle w:val="a3"/>
        <w:numPr>
          <w:ilvl w:val="0"/>
          <w:numId w:val="17"/>
        </w:numP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DB2289" w:rsidRDefault="00E2572A" w:rsidP="003E54F0">
      <w:pPr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512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6A1"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Контрольно-счетной палатой обеспечена реализация полномочий, возложенных Бюджетным кодексом Российской Федерации, </w:t>
      </w:r>
      <w:r w:rsidR="00453249" w:rsidRPr="0045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«О Контрольно-счетной палате </w:t>
      </w:r>
      <w:r w:rsidR="0045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Навлинский </w:t>
      </w:r>
      <w:r w:rsidR="00453249" w:rsidRPr="00453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="006706A1"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Контрольная и экспертно-аналитическая деятельность Контрольно-счетной палаты направл</w:t>
      </w:r>
      <w:r w:rsidR="00453249">
        <w:rPr>
          <w:rFonts w:ascii="Times New Roman" w:eastAsia="Times New Roman" w:hAnsi="Times New Roman" w:cs="Times New Roman"/>
          <w:sz w:val="28"/>
          <w:szCs w:val="28"/>
          <w:lang w:eastAsia="ru-RU"/>
        </w:rPr>
        <w:t>ялась</w:t>
      </w:r>
      <w:r w:rsidR="006706A1"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актуальных вопросов:</w:t>
      </w:r>
      <w:r w:rsidR="006706A1" w:rsidRPr="00670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эффективность</w:t>
      </w:r>
      <w:r w:rsidR="006706A1" w:rsidRPr="006706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организации предоставления и использования бюджетных средств, </w:t>
      </w:r>
      <w:r w:rsidR="006706A1"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использования </w:t>
      </w:r>
      <w:r w:rsidR="004532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706A1"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</w:t>
      </w:r>
      <w:r w:rsidR="0045324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</w:t>
      </w:r>
      <w:r w:rsidR="006706A1" w:rsidRPr="006706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реализации законодательства </w:t>
      </w:r>
      <w:r w:rsidR="006706A1" w:rsidRPr="006706A1">
        <w:rPr>
          <w:rFonts w:ascii="Times New Roman" w:eastAsia="Calibri" w:hAnsi="Times New Roman" w:cs="Times New Roman"/>
          <w:sz w:val="28"/>
        </w:rPr>
        <w:t>Российской Федерации</w:t>
      </w:r>
      <w:r w:rsidR="006706A1" w:rsidRPr="006706A1">
        <w:rPr>
          <w:rFonts w:ascii="Times New Roman" w:eastAsia="Calibri" w:hAnsi="Times New Roman" w:cs="Times New Roman"/>
          <w:sz w:val="28"/>
          <w:szCs w:val="28"/>
        </w:rPr>
        <w:t xml:space="preserve"> в сфере закупок товаров, работ, услуг для обеспечения муниципальных нужд.</w:t>
      </w:r>
    </w:p>
    <w:p w:rsidR="0042462C" w:rsidRDefault="00DB2289" w:rsidP="003E54F0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706A1"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85129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706A1"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Контрольно-счетной палатой будет продолжена работа по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6A1"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дальнейшему укреплению и развитию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706A1"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6A1" w:rsidRPr="006706A1" w:rsidRDefault="006706A1" w:rsidP="003E54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формирования и исполнения бюджета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и сельских поселений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управления и распоряжения имуществом 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 района, городских и сельских поселений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462C" w:rsidRDefault="006706A1" w:rsidP="003E54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внедрению в контрольную практику новых форм и методов работы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совершенствованию правового, методологического и информационного 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обеспечения </w:t>
      </w:r>
      <w:r w:rsidR="00E0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внешнего 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финансового контроля на территории </w:t>
      </w:r>
      <w:r w:rsidR="004246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 района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572A" w:rsidRPr="00E2572A" w:rsidRDefault="006706A1" w:rsidP="003E54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расширению взаимодействия с правоохранительными органами, органами государственной власти</w:t>
      </w:r>
      <w:r w:rsidR="00E0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органами местного самоуправления района, городских и сельских поселений района, 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контрольно-счетными органами </w:t>
      </w:r>
      <w:r w:rsidR="00E065B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  <w:r w:rsidRPr="006706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572A" w:rsidRPr="00E2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B2289" w:rsidRDefault="00DB2289" w:rsidP="00E25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2A" w:rsidRPr="00E2572A" w:rsidRDefault="00041C0C" w:rsidP="00E25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2572A" w:rsidRPr="00E2572A" w:rsidRDefault="00E2572A" w:rsidP="00E25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Контрольно-счетной</w:t>
      </w:r>
    </w:p>
    <w:p w:rsidR="003E54F0" w:rsidRDefault="003E54F0" w:rsidP="00663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72A" w:rsidRDefault="00E2572A" w:rsidP="00663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 </w:t>
      </w:r>
      <w:proofErr w:type="spellStart"/>
      <w:r w:rsidRPr="00E257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8196D" w:rsidRPr="0078196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авлинского</w:t>
      </w:r>
      <w:proofErr w:type="spellEnd"/>
      <w:r w:rsidRPr="00E2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</w:t>
      </w:r>
      <w:r w:rsidR="00DB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2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78196D" w:rsidRPr="00781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Г.А. </w:t>
      </w:r>
      <w:proofErr w:type="spellStart"/>
      <w:r w:rsidR="0078196D" w:rsidRPr="00781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Острянин</w:t>
      </w:r>
      <w:proofErr w:type="spellEnd"/>
    </w:p>
    <w:sectPr w:rsidR="00E2572A" w:rsidSect="00313225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30E" w:rsidRDefault="002D330E" w:rsidP="00FC474E">
      <w:pPr>
        <w:spacing w:after="0" w:line="240" w:lineRule="auto"/>
      </w:pPr>
      <w:r>
        <w:separator/>
      </w:r>
    </w:p>
  </w:endnote>
  <w:endnote w:type="continuationSeparator" w:id="0">
    <w:p w:rsidR="002D330E" w:rsidRDefault="002D330E" w:rsidP="00FC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30E" w:rsidRDefault="002D330E" w:rsidP="00FC474E">
      <w:pPr>
        <w:spacing w:after="0" w:line="240" w:lineRule="auto"/>
      </w:pPr>
      <w:r>
        <w:separator/>
      </w:r>
    </w:p>
  </w:footnote>
  <w:footnote w:type="continuationSeparator" w:id="0">
    <w:p w:rsidR="002D330E" w:rsidRDefault="002D330E" w:rsidP="00FC4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196445"/>
      <w:docPartObj>
        <w:docPartGallery w:val="Page Numbers (Top of Page)"/>
        <w:docPartUnique/>
      </w:docPartObj>
    </w:sdtPr>
    <w:sdtEndPr/>
    <w:sdtContent>
      <w:p w:rsidR="009E73B3" w:rsidRDefault="009E73B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262">
          <w:rPr>
            <w:noProof/>
          </w:rPr>
          <w:t>21</w:t>
        </w:r>
        <w:r>
          <w:fldChar w:fldCharType="end"/>
        </w:r>
      </w:p>
    </w:sdtContent>
  </w:sdt>
  <w:p w:rsidR="009E73B3" w:rsidRDefault="009E73B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3B3" w:rsidRDefault="009E73B3">
    <w:pPr>
      <w:pStyle w:val="ab"/>
      <w:jc w:val="center"/>
    </w:pPr>
  </w:p>
  <w:p w:rsidR="009E73B3" w:rsidRDefault="009E73B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0A94"/>
    <w:multiLevelType w:val="multilevel"/>
    <w:tmpl w:val="E1F88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D1FD6"/>
    <w:multiLevelType w:val="multilevel"/>
    <w:tmpl w:val="3F10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8045D"/>
    <w:multiLevelType w:val="hybridMultilevel"/>
    <w:tmpl w:val="1C4CE9A0"/>
    <w:lvl w:ilvl="0" w:tplc="0D2A5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124B0"/>
    <w:multiLevelType w:val="multilevel"/>
    <w:tmpl w:val="7B68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606B7"/>
    <w:multiLevelType w:val="multilevel"/>
    <w:tmpl w:val="A4B0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0D2B2B"/>
    <w:multiLevelType w:val="multilevel"/>
    <w:tmpl w:val="AA82B3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F2BB7"/>
    <w:multiLevelType w:val="multilevel"/>
    <w:tmpl w:val="9364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7466B5"/>
    <w:multiLevelType w:val="multilevel"/>
    <w:tmpl w:val="07C0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D56C7B"/>
    <w:multiLevelType w:val="multilevel"/>
    <w:tmpl w:val="106A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D61B70"/>
    <w:multiLevelType w:val="multilevel"/>
    <w:tmpl w:val="3A3ED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>
    <w:nsid w:val="52A133C0"/>
    <w:multiLevelType w:val="multilevel"/>
    <w:tmpl w:val="23B6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3E21D2"/>
    <w:multiLevelType w:val="hybridMultilevel"/>
    <w:tmpl w:val="49D62C0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BA555E5"/>
    <w:multiLevelType w:val="multilevel"/>
    <w:tmpl w:val="F9E690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E573C3"/>
    <w:multiLevelType w:val="multilevel"/>
    <w:tmpl w:val="86C6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8C0736"/>
    <w:multiLevelType w:val="hybridMultilevel"/>
    <w:tmpl w:val="3B5208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B35F79"/>
    <w:multiLevelType w:val="multilevel"/>
    <w:tmpl w:val="DDF8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102918"/>
    <w:multiLevelType w:val="multilevel"/>
    <w:tmpl w:val="921A9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E946AE"/>
    <w:multiLevelType w:val="multilevel"/>
    <w:tmpl w:val="64E8B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D97DE2"/>
    <w:multiLevelType w:val="multilevel"/>
    <w:tmpl w:val="112E5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911CF1"/>
    <w:multiLevelType w:val="multilevel"/>
    <w:tmpl w:val="17C67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19"/>
  </w:num>
  <w:num w:numId="5">
    <w:abstractNumId w:val="17"/>
  </w:num>
  <w:num w:numId="6">
    <w:abstractNumId w:val="5"/>
  </w:num>
  <w:num w:numId="7">
    <w:abstractNumId w:val="12"/>
  </w:num>
  <w:num w:numId="8">
    <w:abstractNumId w:val="15"/>
  </w:num>
  <w:num w:numId="9">
    <w:abstractNumId w:val="4"/>
  </w:num>
  <w:num w:numId="10">
    <w:abstractNumId w:val="18"/>
  </w:num>
  <w:num w:numId="11">
    <w:abstractNumId w:val="10"/>
  </w:num>
  <w:num w:numId="12">
    <w:abstractNumId w:val="8"/>
  </w:num>
  <w:num w:numId="13">
    <w:abstractNumId w:val="1"/>
  </w:num>
  <w:num w:numId="14">
    <w:abstractNumId w:val="7"/>
  </w:num>
  <w:num w:numId="15">
    <w:abstractNumId w:val="13"/>
  </w:num>
  <w:num w:numId="16">
    <w:abstractNumId w:val="6"/>
  </w:num>
  <w:num w:numId="17">
    <w:abstractNumId w:val="9"/>
  </w:num>
  <w:num w:numId="18">
    <w:abstractNumId w:val="2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1B"/>
    <w:rsid w:val="00025CF8"/>
    <w:rsid w:val="000306C8"/>
    <w:rsid w:val="00030FE0"/>
    <w:rsid w:val="00036471"/>
    <w:rsid w:val="00041C0C"/>
    <w:rsid w:val="00051CFE"/>
    <w:rsid w:val="00057B7C"/>
    <w:rsid w:val="00082D4D"/>
    <w:rsid w:val="00087ECA"/>
    <w:rsid w:val="00091031"/>
    <w:rsid w:val="00092913"/>
    <w:rsid w:val="00094AD6"/>
    <w:rsid w:val="000A0ADE"/>
    <w:rsid w:val="000F23C7"/>
    <w:rsid w:val="000F2EE0"/>
    <w:rsid w:val="000F79C4"/>
    <w:rsid w:val="00111CB9"/>
    <w:rsid w:val="001160E7"/>
    <w:rsid w:val="0011710E"/>
    <w:rsid w:val="00117EC8"/>
    <w:rsid w:val="00125514"/>
    <w:rsid w:val="00131B73"/>
    <w:rsid w:val="00134887"/>
    <w:rsid w:val="001360DE"/>
    <w:rsid w:val="001478E5"/>
    <w:rsid w:val="001506C8"/>
    <w:rsid w:val="00155CFE"/>
    <w:rsid w:val="00156AA1"/>
    <w:rsid w:val="0016086C"/>
    <w:rsid w:val="00181599"/>
    <w:rsid w:val="00181D30"/>
    <w:rsid w:val="00183DA2"/>
    <w:rsid w:val="00185187"/>
    <w:rsid w:val="00187A2C"/>
    <w:rsid w:val="00191DB9"/>
    <w:rsid w:val="001B7459"/>
    <w:rsid w:val="001C73F4"/>
    <w:rsid w:val="001D16FF"/>
    <w:rsid w:val="001D417A"/>
    <w:rsid w:val="001E2889"/>
    <w:rsid w:val="001F6071"/>
    <w:rsid w:val="00210192"/>
    <w:rsid w:val="00214FB9"/>
    <w:rsid w:val="0021508F"/>
    <w:rsid w:val="002225E1"/>
    <w:rsid w:val="00225AAE"/>
    <w:rsid w:val="00235809"/>
    <w:rsid w:val="00236EF5"/>
    <w:rsid w:val="00237584"/>
    <w:rsid w:val="00242A13"/>
    <w:rsid w:val="002663D6"/>
    <w:rsid w:val="0027384D"/>
    <w:rsid w:val="002779FA"/>
    <w:rsid w:val="00285D7C"/>
    <w:rsid w:val="002A6E08"/>
    <w:rsid w:val="002D330E"/>
    <w:rsid w:val="002E6138"/>
    <w:rsid w:val="002F3A07"/>
    <w:rsid w:val="00313225"/>
    <w:rsid w:val="00333770"/>
    <w:rsid w:val="00335147"/>
    <w:rsid w:val="00336133"/>
    <w:rsid w:val="0035650B"/>
    <w:rsid w:val="003735EA"/>
    <w:rsid w:val="003738C9"/>
    <w:rsid w:val="00384494"/>
    <w:rsid w:val="003875A5"/>
    <w:rsid w:val="00392A73"/>
    <w:rsid w:val="00396E68"/>
    <w:rsid w:val="003A250E"/>
    <w:rsid w:val="003B59F4"/>
    <w:rsid w:val="003D4313"/>
    <w:rsid w:val="003D5FB1"/>
    <w:rsid w:val="003D62D2"/>
    <w:rsid w:val="003E2799"/>
    <w:rsid w:val="003E43ED"/>
    <w:rsid w:val="003E54F0"/>
    <w:rsid w:val="003F53AF"/>
    <w:rsid w:val="003F5D8C"/>
    <w:rsid w:val="00401414"/>
    <w:rsid w:val="004079DB"/>
    <w:rsid w:val="00410146"/>
    <w:rsid w:val="00410D22"/>
    <w:rsid w:val="004123B0"/>
    <w:rsid w:val="00420A28"/>
    <w:rsid w:val="004224C6"/>
    <w:rsid w:val="0042462C"/>
    <w:rsid w:val="00426B76"/>
    <w:rsid w:val="00437E05"/>
    <w:rsid w:val="00453249"/>
    <w:rsid w:val="00454461"/>
    <w:rsid w:val="00476086"/>
    <w:rsid w:val="004857CE"/>
    <w:rsid w:val="00486BD3"/>
    <w:rsid w:val="004931D9"/>
    <w:rsid w:val="004B5258"/>
    <w:rsid w:val="004B7188"/>
    <w:rsid w:val="004B7794"/>
    <w:rsid w:val="004C29B0"/>
    <w:rsid w:val="004C43A5"/>
    <w:rsid w:val="004D5C46"/>
    <w:rsid w:val="004D6050"/>
    <w:rsid w:val="004F346A"/>
    <w:rsid w:val="005135EA"/>
    <w:rsid w:val="00536DD0"/>
    <w:rsid w:val="005618E4"/>
    <w:rsid w:val="00566FD4"/>
    <w:rsid w:val="005756E8"/>
    <w:rsid w:val="00587825"/>
    <w:rsid w:val="005A0612"/>
    <w:rsid w:val="005A20C0"/>
    <w:rsid w:val="005A3D25"/>
    <w:rsid w:val="005B0403"/>
    <w:rsid w:val="005C03E8"/>
    <w:rsid w:val="005C3695"/>
    <w:rsid w:val="005D4C25"/>
    <w:rsid w:val="005F5A4C"/>
    <w:rsid w:val="00604E5A"/>
    <w:rsid w:val="00607460"/>
    <w:rsid w:val="006106CA"/>
    <w:rsid w:val="0061274D"/>
    <w:rsid w:val="00625CCC"/>
    <w:rsid w:val="0063543E"/>
    <w:rsid w:val="006420F1"/>
    <w:rsid w:val="00654382"/>
    <w:rsid w:val="0065655A"/>
    <w:rsid w:val="00662C17"/>
    <w:rsid w:val="00663A3C"/>
    <w:rsid w:val="00665B2B"/>
    <w:rsid w:val="006706A1"/>
    <w:rsid w:val="00681348"/>
    <w:rsid w:val="00695482"/>
    <w:rsid w:val="006B1DCE"/>
    <w:rsid w:val="006B297A"/>
    <w:rsid w:val="006B570A"/>
    <w:rsid w:val="006B6161"/>
    <w:rsid w:val="006C0F93"/>
    <w:rsid w:val="006C4004"/>
    <w:rsid w:val="006D5A3D"/>
    <w:rsid w:val="006E5C97"/>
    <w:rsid w:val="006F3394"/>
    <w:rsid w:val="006F3BDF"/>
    <w:rsid w:val="00723211"/>
    <w:rsid w:val="007421DC"/>
    <w:rsid w:val="007474E7"/>
    <w:rsid w:val="00776870"/>
    <w:rsid w:val="00777892"/>
    <w:rsid w:val="0078184D"/>
    <w:rsid w:val="0078196D"/>
    <w:rsid w:val="007823E1"/>
    <w:rsid w:val="0079567C"/>
    <w:rsid w:val="00796598"/>
    <w:rsid w:val="007D1149"/>
    <w:rsid w:val="007D525B"/>
    <w:rsid w:val="007E4374"/>
    <w:rsid w:val="007E7ADB"/>
    <w:rsid w:val="007F01FB"/>
    <w:rsid w:val="007F0422"/>
    <w:rsid w:val="007F1A3C"/>
    <w:rsid w:val="00821DF0"/>
    <w:rsid w:val="00830C47"/>
    <w:rsid w:val="008349F4"/>
    <w:rsid w:val="00835C85"/>
    <w:rsid w:val="0085129E"/>
    <w:rsid w:val="00882CBC"/>
    <w:rsid w:val="00884E44"/>
    <w:rsid w:val="008A774C"/>
    <w:rsid w:val="008C094D"/>
    <w:rsid w:val="008E78A5"/>
    <w:rsid w:val="008F466F"/>
    <w:rsid w:val="008F4A0D"/>
    <w:rsid w:val="009054CC"/>
    <w:rsid w:val="009179E4"/>
    <w:rsid w:val="00925C3A"/>
    <w:rsid w:val="00941F9B"/>
    <w:rsid w:val="00942088"/>
    <w:rsid w:val="009478E9"/>
    <w:rsid w:val="00947B42"/>
    <w:rsid w:val="00954047"/>
    <w:rsid w:val="009545E6"/>
    <w:rsid w:val="00976C99"/>
    <w:rsid w:val="009C6F8D"/>
    <w:rsid w:val="009D693F"/>
    <w:rsid w:val="009E351D"/>
    <w:rsid w:val="009E5597"/>
    <w:rsid w:val="009E73B3"/>
    <w:rsid w:val="009F0F71"/>
    <w:rsid w:val="009F12F7"/>
    <w:rsid w:val="00A00788"/>
    <w:rsid w:val="00A04E49"/>
    <w:rsid w:val="00A07C6E"/>
    <w:rsid w:val="00A22878"/>
    <w:rsid w:val="00A22DDC"/>
    <w:rsid w:val="00A2390B"/>
    <w:rsid w:val="00A30BE3"/>
    <w:rsid w:val="00A40E5B"/>
    <w:rsid w:val="00A53605"/>
    <w:rsid w:val="00A553EA"/>
    <w:rsid w:val="00A619AC"/>
    <w:rsid w:val="00A8233A"/>
    <w:rsid w:val="00A906E6"/>
    <w:rsid w:val="00A92714"/>
    <w:rsid w:val="00AA4F40"/>
    <w:rsid w:val="00AA5194"/>
    <w:rsid w:val="00AA5D5C"/>
    <w:rsid w:val="00AB5B51"/>
    <w:rsid w:val="00AC6763"/>
    <w:rsid w:val="00AD7F75"/>
    <w:rsid w:val="00AE7DA2"/>
    <w:rsid w:val="00B0303F"/>
    <w:rsid w:val="00B130EC"/>
    <w:rsid w:val="00B4219B"/>
    <w:rsid w:val="00B46AFE"/>
    <w:rsid w:val="00B471A5"/>
    <w:rsid w:val="00B568A8"/>
    <w:rsid w:val="00B65B19"/>
    <w:rsid w:val="00B66651"/>
    <w:rsid w:val="00B817C5"/>
    <w:rsid w:val="00B8254D"/>
    <w:rsid w:val="00B84A71"/>
    <w:rsid w:val="00B95D4E"/>
    <w:rsid w:val="00BC50BD"/>
    <w:rsid w:val="00BE09AC"/>
    <w:rsid w:val="00BE5005"/>
    <w:rsid w:val="00BE7F70"/>
    <w:rsid w:val="00BF4AFC"/>
    <w:rsid w:val="00C00F8B"/>
    <w:rsid w:val="00C2214B"/>
    <w:rsid w:val="00C315DE"/>
    <w:rsid w:val="00C336F8"/>
    <w:rsid w:val="00C36B6F"/>
    <w:rsid w:val="00C4010E"/>
    <w:rsid w:val="00C471F2"/>
    <w:rsid w:val="00C70A65"/>
    <w:rsid w:val="00C8370A"/>
    <w:rsid w:val="00C91390"/>
    <w:rsid w:val="00C92C1F"/>
    <w:rsid w:val="00CB7A3C"/>
    <w:rsid w:val="00CE1E22"/>
    <w:rsid w:val="00CE548A"/>
    <w:rsid w:val="00D00345"/>
    <w:rsid w:val="00D159B1"/>
    <w:rsid w:val="00D3794D"/>
    <w:rsid w:val="00D42D71"/>
    <w:rsid w:val="00D531EC"/>
    <w:rsid w:val="00D617A7"/>
    <w:rsid w:val="00D65DC8"/>
    <w:rsid w:val="00D729DA"/>
    <w:rsid w:val="00D75FD6"/>
    <w:rsid w:val="00D81D7B"/>
    <w:rsid w:val="00D94443"/>
    <w:rsid w:val="00DB2289"/>
    <w:rsid w:val="00DB24DE"/>
    <w:rsid w:val="00DE1F70"/>
    <w:rsid w:val="00DE2B87"/>
    <w:rsid w:val="00DF0858"/>
    <w:rsid w:val="00DF4E4A"/>
    <w:rsid w:val="00E01D87"/>
    <w:rsid w:val="00E065B1"/>
    <w:rsid w:val="00E07FD0"/>
    <w:rsid w:val="00E127CB"/>
    <w:rsid w:val="00E14972"/>
    <w:rsid w:val="00E177A8"/>
    <w:rsid w:val="00E2572A"/>
    <w:rsid w:val="00E301CA"/>
    <w:rsid w:val="00E41778"/>
    <w:rsid w:val="00E4561B"/>
    <w:rsid w:val="00E475E8"/>
    <w:rsid w:val="00E47D00"/>
    <w:rsid w:val="00E55D1E"/>
    <w:rsid w:val="00E57D4F"/>
    <w:rsid w:val="00E669CC"/>
    <w:rsid w:val="00E729F2"/>
    <w:rsid w:val="00E90D7D"/>
    <w:rsid w:val="00EA6663"/>
    <w:rsid w:val="00EB171A"/>
    <w:rsid w:val="00EB6BA8"/>
    <w:rsid w:val="00EC5678"/>
    <w:rsid w:val="00EC6D68"/>
    <w:rsid w:val="00EC70BF"/>
    <w:rsid w:val="00ED180A"/>
    <w:rsid w:val="00ED4A1C"/>
    <w:rsid w:val="00ED7B11"/>
    <w:rsid w:val="00EF409F"/>
    <w:rsid w:val="00F0371B"/>
    <w:rsid w:val="00F26408"/>
    <w:rsid w:val="00F36B02"/>
    <w:rsid w:val="00F44567"/>
    <w:rsid w:val="00F51C8C"/>
    <w:rsid w:val="00F57B48"/>
    <w:rsid w:val="00F6311A"/>
    <w:rsid w:val="00F70262"/>
    <w:rsid w:val="00F81EFA"/>
    <w:rsid w:val="00FC1555"/>
    <w:rsid w:val="00FC2826"/>
    <w:rsid w:val="00FC474E"/>
    <w:rsid w:val="00FD056C"/>
    <w:rsid w:val="00FE04CC"/>
    <w:rsid w:val="00FE6D30"/>
    <w:rsid w:val="00F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C4694D-D2FE-4067-B110-B0716A89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3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3E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22DDC"/>
    <w:rPr>
      <w:rFonts w:ascii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DF08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link w:val="a7"/>
    <w:uiPriority w:val="1"/>
    <w:locked/>
    <w:rsid w:val="00DF08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4931D9"/>
    <w:rPr>
      <w:color w:val="0563C1" w:themeColor="hyperlink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4931D9"/>
    <w:pPr>
      <w:tabs>
        <w:tab w:val="right" w:leader="dot" w:pos="9639"/>
      </w:tabs>
      <w:spacing w:after="0" w:line="360" w:lineRule="auto"/>
      <w:jc w:val="both"/>
    </w:pPr>
    <w:rPr>
      <w:rFonts w:ascii="Times New Roman" w:eastAsia="Times New Roman" w:hAnsi="Times New Roman" w:cs="Times New Roman"/>
      <w:bCs/>
      <w:noProof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4931D9"/>
    <w:pPr>
      <w:spacing w:after="100" w:line="240" w:lineRule="auto"/>
      <w:ind w:left="280" w:firstLine="709"/>
    </w:pPr>
    <w:rPr>
      <w:rFonts w:ascii="Times New Roman" w:hAnsi="Times New Roman"/>
      <w:sz w:val="28"/>
    </w:rPr>
  </w:style>
  <w:style w:type="table" w:styleId="aa">
    <w:name w:val="Table Grid"/>
    <w:basedOn w:val="a1"/>
    <w:uiPriority w:val="59"/>
    <w:rsid w:val="00A9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 Знак Знак"/>
    <w:basedOn w:val="a"/>
    <w:rsid w:val="005D4C2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FC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474E"/>
  </w:style>
  <w:style w:type="paragraph" w:styleId="ad">
    <w:name w:val="footer"/>
    <w:basedOn w:val="a"/>
    <w:link w:val="ae"/>
    <w:uiPriority w:val="99"/>
    <w:unhideWhenUsed/>
    <w:rsid w:val="00FC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C4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3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9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8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6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2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FAB91-AD5D-49D2-9E2A-8FBDF6E9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7557</Words>
  <Characters>43081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2</cp:revision>
  <cp:lastPrinted>2019-03-29T07:34:00Z</cp:lastPrinted>
  <dcterms:created xsi:type="dcterms:W3CDTF">2022-01-02T20:37:00Z</dcterms:created>
  <dcterms:modified xsi:type="dcterms:W3CDTF">2022-01-02T20:37:00Z</dcterms:modified>
</cp:coreProperties>
</file>