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38" w:rsidRPr="00060588" w:rsidRDefault="00122938" w:rsidP="001229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122938" w:rsidRPr="00060588" w:rsidRDefault="00122938" w:rsidP="006E43D3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</w:t>
      </w:r>
      <w:r w:rsidR="00E90585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</w:p>
    <w:p w:rsidR="005B1E4A" w:rsidRPr="00060588" w:rsidRDefault="005B1E4A" w:rsidP="006E43D3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6E43D3" w:rsidRPr="00060588" w:rsidRDefault="005B1E4A" w:rsidP="004A3BB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«Экспертиза и подготовка заключения </w:t>
      </w:r>
      <w:r w:rsidR="006E43D3" w:rsidRPr="00060588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</w:t>
      </w:r>
      <w:r w:rsidR="00E90585" w:rsidRPr="00060588">
        <w:rPr>
          <w:rFonts w:ascii="Times New Roman" w:hAnsi="Times New Roman" w:cs="Times New Roman"/>
          <w:b/>
          <w:sz w:val="24"/>
          <w:szCs w:val="24"/>
        </w:rPr>
        <w:t xml:space="preserve">Навлинского </w:t>
      </w:r>
      <w:r w:rsidR="004A3BBC" w:rsidRPr="00060588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585" w:rsidRPr="00060588">
        <w:rPr>
          <w:rFonts w:ascii="Times New Roman" w:hAnsi="Times New Roman" w:cs="Times New Roman"/>
          <w:b/>
          <w:sz w:val="24"/>
          <w:szCs w:val="24"/>
        </w:rPr>
        <w:t xml:space="preserve">Навлинского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423497" w:rsidRPr="00060588">
        <w:rPr>
          <w:rFonts w:ascii="Times New Roman" w:hAnsi="Times New Roman" w:cs="Times New Roman"/>
          <w:b/>
          <w:sz w:val="24"/>
          <w:szCs w:val="24"/>
        </w:rPr>
        <w:t>за 20</w:t>
      </w:r>
      <w:r w:rsidR="000820FF" w:rsidRPr="00060588">
        <w:rPr>
          <w:rFonts w:ascii="Times New Roman" w:hAnsi="Times New Roman" w:cs="Times New Roman"/>
          <w:b/>
          <w:sz w:val="24"/>
          <w:szCs w:val="24"/>
        </w:rPr>
        <w:t>2</w:t>
      </w:r>
      <w:r w:rsidR="0095282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6E43D3" w:rsidRPr="0006058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60588">
        <w:rPr>
          <w:rFonts w:ascii="Times New Roman" w:hAnsi="Times New Roman" w:cs="Times New Roman"/>
          <w:b/>
          <w:sz w:val="24"/>
          <w:szCs w:val="24"/>
        </w:rPr>
        <w:t>»</w:t>
      </w:r>
    </w:p>
    <w:p w:rsidR="00ED0B26" w:rsidRPr="00060588" w:rsidRDefault="00ED0B26" w:rsidP="001229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B26" w:rsidRPr="00060588" w:rsidRDefault="00ED0B26" w:rsidP="00ED0B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="00E90585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Навля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6058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24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6058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C3C5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D3000C" w:rsidRPr="00060588">
        <w:rPr>
          <w:rFonts w:ascii="Times New Roman" w:eastAsia="Times New Roman" w:hAnsi="Times New Roman" w:cs="Times New Roman"/>
          <w:b/>
          <w:sz w:val="24"/>
          <w:szCs w:val="24"/>
        </w:rPr>
        <w:t>.04.2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C08CF" w:rsidRPr="0006058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3C5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</w:t>
      </w:r>
    </w:p>
    <w:p w:rsidR="00ED0B26" w:rsidRPr="00060588" w:rsidRDefault="00522CFD" w:rsidP="00ED0B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D0B2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1. Основание для проведения экспертно-аналитического мероприятия: 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Положение «О Контрольно-счетной палате Навлинского муниципального района» принятое решением Навлинского районного Совета народных депутатов от 29.10.2021 года № 6-159;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- Соглашение о передаче полномочий по осуществлению внешнего муниципального финансового контроля;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- пункта 1.3.2 плана работы Контрольно – счетной палаты Навлинского муниципального района на 202</w:t>
      </w:r>
      <w:r w:rsidR="004C3C58">
        <w:rPr>
          <w:rFonts w:ascii="Times New Roman" w:hAnsi="Times New Roman"/>
          <w:sz w:val="24"/>
          <w:szCs w:val="24"/>
        </w:rPr>
        <w:t>3</w:t>
      </w:r>
      <w:r w:rsidRPr="00060588">
        <w:rPr>
          <w:rFonts w:ascii="Times New Roman" w:hAnsi="Times New Roman"/>
          <w:sz w:val="24"/>
          <w:szCs w:val="24"/>
        </w:rPr>
        <w:t xml:space="preserve"> год утвержденный распоряжением председателя Контрольно-счетной палаты Навлинского муниципального района от 2</w:t>
      </w:r>
      <w:r w:rsidR="004C3C58">
        <w:rPr>
          <w:rFonts w:ascii="Times New Roman" w:hAnsi="Times New Roman"/>
          <w:sz w:val="24"/>
          <w:szCs w:val="24"/>
        </w:rPr>
        <w:t>6</w:t>
      </w:r>
      <w:r w:rsidRPr="00060588">
        <w:rPr>
          <w:rFonts w:ascii="Times New Roman" w:hAnsi="Times New Roman"/>
          <w:sz w:val="24"/>
          <w:szCs w:val="24"/>
        </w:rPr>
        <w:t>.12.202</w:t>
      </w:r>
      <w:r w:rsidR="004C3C58">
        <w:rPr>
          <w:rFonts w:ascii="Times New Roman" w:hAnsi="Times New Roman"/>
          <w:sz w:val="24"/>
          <w:szCs w:val="24"/>
        </w:rPr>
        <w:t xml:space="preserve">2 </w:t>
      </w:r>
      <w:r w:rsidRPr="00060588">
        <w:rPr>
          <w:rFonts w:ascii="Times New Roman" w:hAnsi="Times New Roman"/>
          <w:sz w:val="24"/>
          <w:szCs w:val="24"/>
        </w:rPr>
        <w:t>г. №</w:t>
      </w:r>
      <w:r w:rsidR="004C3C58">
        <w:rPr>
          <w:rFonts w:ascii="Times New Roman" w:hAnsi="Times New Roman"/>
          <w:sz w:val="24"/>
          <w:szCs w:val="24"/>
        </w:rPr>
        <w:t xml:space="preserve"> 41</w:t>
      </w:r>
      <w:r w:rsidRPr="00060588">
        <w:rPr>
          <w:rFonts w:ascii="Times New Roman" w:hAnsi="Times New Roman"/>
          <w:sz w:val="24"/>
          <w:szCs w:val="24"/>
        </w:rPr>
        <w:t>-р;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 xml:space="preserve">- </w:t>
      </w:r>
      <w:r w:rsidR="0023508C">
        <w:rPr>
          <w:rFonts w:ascii="Times New Roman" w:hAnsi="Times New Roman"/>
          <w:sz w:val="24"/>
          <w:szCs w:val="24"/>
        </w:rPr>
        <w:t>распоряжение</w:t>
      </w:r>
      <w:r w:rsidRPr="00060588">
        <w:rPr>
          <w:rFonts w:ascii="Times New Roman" w:hAnsi="Times New Roman"/>
          <w:sz w:val="24"/>
          <w:szCs w:val="24"/>
        </w:rPr>
        <w:t xml:space="preserve"> Контрольно-счетной палаты Навлинского муниципального района от </w:t>
      </w:r>
      <w:r w:rsidR="0023508C">
        <w:rPr>
          <w:rFonts w:ascii="Times New Roman" w:hAnsi="Times New Roman"/>
          <w:sz w:val="24"/>
          <w:szCs w:val="24"/>
        </w:rPr>
        <w:t>31</w:t>
      </w:r>
      <w:r w:rsidRPr="00060588">
        <w:rPr>
          <w:rFonts w:ascii="Times New Roman" w:hAnsi="Times New Roman"/>
          <w:sz w:val="24"/>
          <w:szCs w:val="24"/>
        </w:rPr>
        <w:t>.0</w:t>
      </w:r>
      <w:r w:rsidR="0023508C">
        <w:rPr>
          <w:rFonts w:ascii="Times New Roman" w:hAnsi="Times New Roman"/>
          <w:sz w:val="24"/>
          <w:szCs w:val="24"/>
        </w:rPr>
        <w:t>3</w:t>
      </w:r>
      <w:r w:rsidRPr="00060588">
        <w:rPr>
          <w:rFonts w:ascii="Times New Roman" w:hAnsi="Times New Roman"/>
          <w:sz w:val="24"/>
          <w:szCs w:val="24"/>
        </w:rPr>
        <w:t>.202</w:t>
      </w:r>
      <w:r w:rsidR="0023508C">
        <w:rPr>
          <w:rFonts w:ascii="Times New Roman" w:hAnsi="Times New Roman"/>
          <w:sz w:val="24"/>
          <w:szCs w:val="24"/>
        </w:rPr>
        <w:t xml:space="preserve">3 </w:t>
      </w:r>
      <w:r w:rsidRPr="00060588">
        <w:rPr>
          <w:rFonts w:ascii="Times New Roman" w:hAnsi="Times New Roman"/>
          <w:sz w:val="24"/>
          <w:szCs w:val="24"/>
        </w:rPr>
        <w:t xml:space="preserve">г. № </w:t>
      </w:r>
      <w:r w:rsidR="0023508C">
        <w:rPr>
          <w:rFonts w:ascii="Times New Roman" w:hAnsi="Times New Roman"/>
          <w:sz w:val="24"/>
          <w:szCs w:val="24"/>
        </w:rPr>
        <w:t>3-р</w:t>
      </w:r>
      <w:r w:rsidRPr="00060588">
        <w:rPr>
          <w:rFonts w:ascii="Times New Roman" w:hAnsi="Times New Roman"/>
          <w:sz w:val="24"/>
          <w:szCs w:val="24"/>
        </w:rPr>
        <w:t>.</w:t>
      </w:r>
    </w:p>
    <w:p w:rsidR="00E90585" w:rsidRPr="00060588" w:rsidRDefault="00E90585" w:rsidP="00E90585">
      <w:pPr>
        <w:pStyle w:val="a6"/>
        <w:spacing w:after="0"/>
        <w:jc w:val="both"/>
      </w:pPr>
      <w:r w:rsidRPr="00060588">
        <w:t>- статья 157, 264.4 Бюджетного кодекса Российской Федерации.</w:t>
      </w:r>
    </w:p>
    <w:p w:rsidR="00031356" w:rsidRPr="00060588" w:rsidRDefault="00031356" w:rsidP="00031356">
      <w:pPr>
        <w:pStyle w:val="af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2. Предмет экспертно-аналитического мероприятия</w:t>
      </w:r>
      <w:r w:rsidR="00E110EA" w:rsidRPr="000605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6C06" w:rsidRPr="00060588">
        <w:rPr>
          <w:rFonts w:ascii="Times New Roman" w:eastAsia="Times New Roman" w:hAnsi="Times New Roman" w:cs="Times New Roman"/>
          <w:sz w:val="24"/>
          <w:szCs w:val="24"/>
        </w:rPr>
        <w:t xml:space="preserve"> бюджетная</w:t>
      </w:r>
      <w:r w:rsidR="001D6C0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C06" w:rsidRPr="00060588">
        <w:rPr>
          <w:rFonts w:ascii="Times New Roman" w:eastAsia="Times New Roman" w:hAnsi="Times New Roman" w:cs="Times New Roman"/>
          <w:sz w:val="24"/>
          <w:szCs w:val="24"/>
        </w:rPr>
        <w:t>отчетность и иные документы</w:t>
      </w:r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>, содержащие информацию об исполнении бюджета муниципального образования «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62D" w:rsidRPr="00060588">
        <w:rPr>
          <w:rFonts w:ascii="Times New Roman" w:eastAsia="Times New Roman" w:hAnsi="Times New Roman" w:cs="Times New Roman"/>
          <w:sz w:val="24"/>
          <w:szCs w:val="24"/>
        </w:rPr>
        <w:t xml:space="preserve">городское 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поселение» за 202</w:t>
      </w:r>
      <w:r w:rsidR="0030446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3. Объект экспертно-аналитического мероприятия:</w:t>
      </w:r>
      <w:r w:rsidR="0003135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3C16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0F3C16" w:rsidRPr="0006058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4A3BBC" w:rsidRPr="0006058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Навлинское </w:t>
      </w:r>
      <w:r w:rsidR="004A3BBC" w:rsidRPr="00060588">
        <w:rPr>
          <w:rFonts w:ascii="Times New Roman" w:eastAsia="Times New Roman" w:hAnsi="Times New Roman" w:cs="Times New Roman"/>
          <w:sz w:val="24"/>
          <w:szCs w:val="24"/>
        </w:rPr>
        <w:t>городское поселение»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4. Цели и вопросы экспертно-аналитического мероприятия: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 Цель – оценить основные показатели бюджетной отчетности.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4.1.1.  Анализ исполнения бюджета в разрезе доходных источников.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4.1.2  Анализ исполнения бюджета по расходам: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по разделам и </w:t>
      </w:r>
      <w:r w:rsidR="00D05763" w:rsidRPr="00060588">
        <w:rPr>
          <w:rFonts w:ascii="Times New Roman" w:eastAsia="Times New Roman" w:hAnsi="Times New Roman" w:cs="Times New Roman"/>
          <w:sz w:val="24"/>
          <w:szCs w:val="24"/>
        </w:rPr>
        <w:t>подразделам бюджетной классификации;</w:t>
      </w:r>
    </w:p>
    <w:p w:rsidR="00D05763" w:rsidRPr="00060588" w:rsidRDefault="00D0576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по ведомственной структуре расходов.</w:t>
      </w:r>
    </w:p>
    <w:p w:rsidR="00D05763" w:rsidRPr="00060588" w:rsidRDefault="00D0576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4.1.3. </w:t>
      </w:r>
      <w:r w:rsidR="006E43D3" w:rsidRPr="00060588">
        <w:rPr>
          <w:rFonts w:ascii="Times New Roman" w:eastAsia="Times New Roman" w:hAnsi="Times New Roman" w:cs="Times New Roman"/>
          <w:sz w:val="24"/>
          <w:szCs w:val="24"/>
        </w:rPr>
        <w:t>Анализ дефицита (профицита) бюджета и источников финансирования дефицита бюджета.</w:t>
      </w:r>
    </w:p>
    <w:p w:rsidR="006E43D3" w:rsidRPr="00060588" w:rsidRDefault="006E43D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4.1.4 Состояние внутреннего долга муниципального образования.</w:t>
      </w:r>
    </w:p>
    <w:p w:rsidR="00522CFD" w:rsidRPr="00060588" w:rsidRDefault="00FB104F" w:rsidP="00F54CD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CFD" w:rsidRPr="000605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304A2" w:rsidRPr="000605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2CFD" w:rsidRPr="00060588">
        <w:rPr>
          <w:rFonts w:ascii="Times New Roman" w:hAnsi="Times New Roman" w:cs="Times New Roman"/>
          <w:b/>
          <w:sz w:val="24"/>
          <w:szCs w:val="24"/>
        </w:rPr>
        <w:t xml:space="preserve">  Исследуемый период: </w:t>
      </w:r>
      <w:r w:rsidR="00522CFD" w:rsidRPr="00060588">
        <w:rPr>
          <w:rFonts w:ascii="Times New Roman" w:hAnsi="Times New Roman" w:cs="Times New Roman"/>
          <w:sz w:val="24"/>
          <w:szCs w:val="24"/>
        </w:rPr>
        <w:t>20</w:t>
      </w:r>
      <w:r w:rsidR="000820FF" w:rsidRPr="00060588">
        <w:rPr>
          <w:rFonts w:ascii="Times New Roman" w:hAnsi="Times New Roman" w:cs="Times New Roman"/>
          <w:sz w:val="24"/>
          <w:szCs w:val="24"/>
        </w:rPr>
        <w:t>2</w:t>
      </w:r>
      <w:r w:rsidR="0030446D">
        <w:rPr>
          <w:rFonts w:ascii="Times New Roman" w:hAnsi="Times New Roman" w:cs="Times New Roman"/>
          <w:sz w:val="24"/>
          <w:szCs w:val="24"/>
        </w:rPr>
        <w:t>2</w:t>
      </w:r>
      <w:r w:rsidR="00522CFD" w:rsidRPr="0006058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22938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E90585"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Навлинское</w:t>
      </w:r>
      <w:r w:rsidR="005D262D"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городское поселения </w:t>
      </w:r>
      <w:r w:rsidR="00122938" w:rsidRPr="00060588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tooltip="Муниципальное образование" w:history="1"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муниципальное образование</w:t>
        </w:r>
      </w:hyperlink>
      <w:r w:rsidR="00122938" w:rsidRPr="0006058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tooltip="Комаричский район" w:history="1">
        <w:r w:rsidR="00E90585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Навлинского</w:t>
        </w:r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района</w:t>
        </w:r>
      </w:hyperlink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ooltip="Брянская область" w:history="1"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Брянской области</w:t>
        </w:r>
      </w:hyperlink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90585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Административным центром поселения является </w:t>
      </w:r>
      <w:r w:rsidR="005D262D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  <w:r w:rsidR="00CE0B36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0585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Навля</w:t>
      </w:r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22938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Брянской области от 09.03.2005 № 3-З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 xml:space="preserve">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 </w:t>
      </w:r>
      <w:r w:rsidR="00E90585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Навлинское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поселение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Навлинского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района наделено статусом </w:t>
      </w:r>
      <w:r w:rsidR="005D262D" w:rsidRPr="0006058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5B1E4A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Заключение по результатам внешней проверки  годового  отчета об исполнении 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за 202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подготовлено Контрольно-счетной палатой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 соответствии с требованиями статьи 264.4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Бюджетного кодекса Российской Федерации, пункта 3 части 2 статьи 9 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данных внешней проверки годовой бюджетной отчётности за 202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5B1E4A" w:rsidRPr="00060588" w:rsidRDefault="005B1E4A" w:rsidP="00A400B8">
      <w:pPr>
        <w:pStyle w:val="af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годовым отчетом об исполнении бюджета были представлены: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проект решения Совета народных депутатов п.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Навля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 отчёта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   исполнении 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Брянской области за 202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год»  с приложениями;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пояснительная записка.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Представленный к проверке проект решения «Об утверждении отчета об исполнении бюджета  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Брянской области» соответствует статье 264.6. Бюджетного кодекса РФ.</w:t>
      </w:r>
    </w:p>
    <w:p w:rsidR="005B1E4A" w:rsidRPr="00060588" w:rsidRDefault="005B1E4A" w:rsidP="005B1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результате внесённых изменений в решение о бюджете в 202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основных характеристик 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из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менился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его исполнения.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С учётом последних изменений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бюджета утверждён в сумме </w:t>
      </w:r>
      <w:r w:rsidR="00A400B8">
        <w:rPr>
          <w:rFonts w:ascii="Times New Roman" w:eastAsia="Times New Roman" w:hAnsi="Times New Roman" w:cs="Times New Roman"/>
          <w:sz w:val="24"/>
          <w:szCs w:val="24"/>
        </w:rPr>
        <w:t>515,6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ос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 характеристик расходной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 доходной части бюджета поселения 202</w:t>
      </w:r>
      <w:r w:rsidR="00A375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влияли на сбалансированность и устойчивость бюджетной системы поселения, адресного решения социальных проблем.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бюджета в 202</w:t>
      </w:r>
      <w:r w:rsidR="00A375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осуществлялось на основании положений Бюджетного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 Положения о бюджетном процессе и иных нормативных правовых актов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 регулирующих бюджетные отношения.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исполнения бюджета и подготовка отчета об его исполнении возложена на администрацию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. Кассовое обслуживание исполнения бюджета осуществлялось 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Отд</w:t>
      </w:r>
      <w:r w:rsidR="00E74DD3" w:rsidRPr="00060588">
        <w:rPr>
          <w:rFonts w:ascii="Times New Roman" w:hAnsi="Times New Roman" w:cs="Times New Roman"/>
          <w:sz w:val="24"/>
          <w:szCs w:val="24"/>
        </w:rPr>
        <w:t>елении УФК по Брянской области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бюджета на 202</w:t>
      </w:r>
      <w:r w:rsidR="00A375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соблюдался принцип единства кассы и подведомственности финансирования расходов.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Лицевые счета участнику бюджетного процесса в рамках их бюджетных полномочий открыты 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Отд</w:t>
      </w:r>
      <w:r w:rsidR="00E74DD3" w:rsidRPr="00060588">
        <w:rPr>
          <w:rFonts w:ascii="Times New Roman" w:hAnsi="Times New Roman" w:cs="Times New Roman"/>
          <w:sz w:val="24"/>
          <w:szCs w:val="24"/>
        </w:rPr>
        <w:t>елении УФК по Брянской области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соответствует нормам статьи 220.1 Бюджетного кодекса Российской Федерации.</w:t>
      </w:r>
    </w:p>
    <w:p w:rsidR="005B1E4A" w:rsidRPr="00060588" w:rsidRDefault="005B1E4A" w:rsidP="005B1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217 и статьи 217.1 Бюджетного кодекса Российской Федерации исполнение бюджета поселения в 202</w:t>
      </w:r>
      <w:r w:rsidR="00A375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осуществлялось на основе сводной бюджетной росписи и кассового плана.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администрацией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законодательством.</w:t>
      </w:r>
    </w:p>
    <w:p w:rsidR="00122938" w:rsidRPr="00060588" w:rsidRDefault="00122938" w:rsidP="0012293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 бюджет </w:t>
      </w:r>
      <w:r w:rsidR="00CE0B36" w:rsidRPr="0006058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75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 решением Совета народных депутатов 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Навля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>149 «О бюджете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9B7FE4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0B36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</w:t>
      </w:r>
      <w:r w:rsidR="00BC08C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BC08C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0C2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B0C2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>доходам и расхода в сумме 101 276,0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9B7FE4" w:rsidRPr="00060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8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году решениями Совета народных депутатов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="00F42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Навля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в утвержденный бюджет </w:t>
      </w:r>
      <w:r w:rsidR="00D64B82" w:rsidRPr="000605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D64B82" w:rsidRPr="00060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вносились изменения.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br/>
        <w:t xml:space="preserve">С учетом внесенных изменений </w:t>
      </w:r>
      <w:r w:rsidRPr="00060588">
        <w:rPr>
          <w:rFonts w:ascii="Times New Roman" w:hAnsi="Times New Roman" w:cs="Times New Roman"/>
          <w:sz w:val="24"/>
          <w:szCs w:val="24"/>
        </w:rPr>
        <w:t>уточненный бюджет поселения на 20</w:t>
      </w:r>
      <w:r w:rsidR="00A75FE9" w:rsidRPr="00060588">
        <w:rPr>
          <w:rFonts w:ascii="Times New Roman" w:hAnsi="Times New Roman" w:cs="Times New Roman"/>
          <w:sz w:val="24"/>
          <w:szCs w:val="24"/>
        </w:rPr>
        <w:t>2</w:t>
      </w:r>
      <w:r w:rsidR="00F429D5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утвержден по доходам в сумме </w:t>
      </w:r>
      <w:r w:rsidR="003C7F7F">
        <w:rPr>
          <w:rFonts w:ascii="Times New Roman" w:hAnsi="Times New Roman" w:cs="Times New Roman"/>
          <w:sz w:val="24"/>
          <w:szCs w:val="24"/>
        </w:rPr>
        <w:t>62 842,79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Pr="00060588">
        <w:rPr>
          <w:rFonts w:ascii="Times New Roman" w:hAnsi="Times New Roman" w:cs="Times New Roman"/>
          <w:sz w:val="24"/>
          <w:szCs w:val="24"/>
        </w:rPr>
        <w:br/>
      </w:r>
      <w:r w:rsidR="00F429D5">
        <w:rPr>
          <w:rFonts w:ascii="Times New Roman" w:hAnsi="Times New Roman" w:cs="Times New Roman"/>
          <w:sz w:val="24"/>
          <w:szCs w:val="24"/>
        </w:rPr>
        <w:t>85 022,85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6905E0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тыс. рублей, </w:t>
      </w:r>
      <w:r w:rsidR="006905E0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9B7FE4" w:rsidRPr="00060588">
        <w:rPr>
          <w:rFonts w:ascii="Times New Roman" w:hAnsi="Times New Roman" w:cs="Times New Roman"/>
          <w:sz w:val="24"/>
          <w:szCs w:val="24"/>
        </w:rPr>
        <w:t>с</w:t>
      </w:r>
      <w:r w:rsidR="00457AD1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Pr="0006058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B7FE4" w:rsidRPr="00060588">
        <w:rPr>
          <w:rFonts w:ascii="Times New Roman" w:hAnsi="Times New Roman" w:cs="Times New Roman"/>
          <w:sz w:val="24"/>
          <w:szCs w:val="24"/>
        </w:rPr>
        <w:t xml:space="preserve"> в сумме – </w:t>
      </w:r>
      <w:r w:rsidR="00F429D5">
        <w:rPr>
          <w:rFonts w:ascii="Times New Roman" w:hAnsi="Times New Roman" w:cs="Times New Roman"/>
          <w:sz w:val="24"/>
          <w:szCs w:val="24"/>
        </w:rPr>
        <w:t>515,6</w:t>
      </w:r>
      <w:r w:rsidR="009B7FE4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="00BF68FE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9B7FE4" w:rsidRPr="00060588">
        <w:rPr>
          <w:rFonts w:ascii="Times New Roman" w:hAnsi="Times New Roman" w:cs="Times New Roman"/>
          <w:sz w:val="24"/>
          <w:szCs w:val="24"/>
        </w:rPr>
        <w:t>рублей.</w:t>
      </w:r>
    </w:p>
    <w:p w:rsidR="007B6A1E" w:rsidRDefault="007B6A1E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38" w:rsidRPr="00060588" w:rsidRDefault="00AE430B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.1.1.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Анализ исполнения бюджета в разрезе доходных источников.</w:t>
      </w:r>
    </w:p>
    <w:p w:rsidR="00122938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бюджета поселения исполнена в сумме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</w:r>
      <w:r w:rsidR="007B6A1E">
        <w:rPr>
          <w:rFonts w:ascii="Times New Roman" w:eastAsia="Times New Roman" w:hAnsi="Times New Roman" w:cs="Times New Roman"/>
          <w:sz w:val="24"/>
          <w:szCs w:val="24"/>
        </w:rPr>
        <w:t>63 818,26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</w:t>
      </w:r>
      <w:r w:rsidR="00277D40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1E">
        <w:rPr>
          <w:rFonts w:ascii="Times New Roman" w:eastAsia="Times New Roman" w:hAnsi="Times New Roman" w:cs="Times New Roman"/>
          <w:sz w:val="24"/>
          <w:szCs w:val="24"/>
        </w:rPr>
        <w:t>101,6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eastAsia="Times New Roman" w:hAnsi="Times New Roman" w:cs="Times New Roman"/>
          <w:sz w:val="24"/>
          <w:szCs w:val="24"/>
        </w:rPr>
        <w:t>% к уточненному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плану.</w:t>
      </w:r>
    </w:p>
    <w:p w:rsidR="00122938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Формирование доходной части бюджета поселения на 20</w:t>
      </w:r>
      <w:r w:rsidR="00A75FE9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6A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осуществлялось в рамках Налогового и Бюджетного кодексов Российской Федерации и в соответствии с Феде</w:t>
      </w:r>
      <w:r w:rsidR="007B6A1E">
        <w:rPr>
          <w:rFonts w:ascii="Times New Roman" w:eastAsia="Times New Roman" w:hAnsi="Times New Roman" w:cs="Times New Roman"/>
          <w:sz w:val="24"/>
          <w:szCs w:val="24"/>
        </w:rPr>
        <w:t xml:space="preserve">ральным законом от 06.10.2003 №131-Ф3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E74DD3" w:rsidRPr="00F54CD6" w:rsidRDefault="00AE430B" w:rsidP="00F54CD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Анализ исполнения доходной части бюджета поселения представлен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>в следующей таблице.</w:t>
      </w:r>
      <w:r w:rsidR="005D17F3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F54CD6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E430B" w:rsidRPr="00F54CD6" w:rsidRDefault="00E74DD3" w:rsidP="00E74DD3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54CD6">
        <w:rPr>
          <w:rFonts w:ascii="Times New Roman" w:eastAsia="Times New Roman" w:hAnsi="Times New Roman" w:cs="Times New Roman"/>
          <w:sz w:val="18"/>
          <w:szCs w:val="18"/>
        </w:rPr>
        <w:t>(тыс. рублей)</w:t>
      </w:r>
      <w:r w:rsidR="00AE430B" w:rsidRPr="00F54CD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5D17F3" w:rsidRPr="00F54CD6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701"/>
        <w:gridCol w:w="1276"/>
        <w:gridCol w:w="1370"/>
        <w:gridCol w:w="1102"/>
      </w:tblGrid>
      <w:tr w:rsidR="00E74DD3" w:rsidRPr="00E74DD3" w:rsidTr="00F54CD6">
        <w:trPr>
          <w:trHeight w:val="571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Уточненные назначения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уточненному плану, %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Темп роста, %</w:t>
            </w:r>
          </w:p>
        </w:tc>
      </w:tr>
      <w:tr w:rsidR="00E74DD3" w:rsidRPr="00E74DD3" w:rsidTr="00F54CD6">
        <w:trPr>
          <w:trHeight w:val="187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7B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6A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26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62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42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26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95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- 29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48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47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E74DD3" w:rsidRPr="00E74DD3" w:rsidTr="00F54CD6">
        <w:trPr>
          <w:trHeight w:val="185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7B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B6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19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29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58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19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- 32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95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- 9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 89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  <w:tr w:rsidR="00E74DD3" w:rsidRPr="00E74DD3" w:rsidTr="00F54CD6">
        <w:trPr>
          <w:trHeight w:val="185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7B6A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1" w:name="_Hlk97906932"/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B6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7B6A1E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101 276,0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7B6A1E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62 842,79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876603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63 818,26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87660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87660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7B6A1E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101 276,0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7B6A1E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85 022,84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876603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64 333,9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87660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87660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E74DD3" w:rsidP="00876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6603">
              <w:rPr>
                <w:rFonts w:ascii="Times New Roman" w:hAnsi="Times New Roman" w:cs="Times New Roman"/>
                <w:sz w:val="20"/>
                <w:szCs w:val="20"/>
              </w:rPr>
              <w:t>22 180,1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766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6603">
              <w:rPr>
                <w:rFonts w:ascii="Times New Roman" w:hAnsi="Times New Roman" w:cs="Times New Roman"/>
                <w:sz w:val="20"/>
                <w:szCs w:val="20"/>
              </w:rPr>
              <w:t>515,6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87660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87660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</w:tbl>
    <w:bookmarkEnd w:id="1"/>
    <w:p w:rsidR="00AE430B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D77EF" w:rsidRPr="00060588" w:rsidRDefault="006D77EF" w:rsidP="00F54CD6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588">
        <w:rPr>
          <w:rFonts w:ascii="Times New Roman" w:hAnsi="Times New Roman" w:cs="Times New Roman"/>
          <w:color w:val="000000"/>
          <w:sz w:val="24"/>
          <w:szCs w:val="24"/>
        </w:rPr>
        <w:t>Доходная часть бюджета Навлинского городского поселения Навлинского муниципального района Брянкой области в 202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году исполнена в объеме 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>63 818,26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что составляет 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>101,6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к прогнозным показателям. Налоговые и неналоговые доходы исполнены в сумме 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>35 678,1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или на 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,7 процента от прогнозного плана, безвозмездные поступления – в объеме 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>28 140,2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руб., или на 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>97,8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7EF" w:rsidRPr="00060588" w:rsidRDefault="006D77EF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588">
        <w:rPr>
          <w:rFonts w:ascii="Times New Roman" w:hAnsi="Times New Roman" w:cs="Times New Roman"/>
          <w:bCs/>
          <w:sz w:val="24"/>
          <w:szCs w:val="24"/>
        </w:rPr>
        <w:lastRenderedPageBreak/>
        <w:t>Исполнение бюджета Навлинского городского поселения Навлинского муниципального района Брянкой области по доходам в 202</w:t>
      </w:r>
      <w:r w:rsidR="00BE123C">
        <w:rPr>
          <w:rFonts w:ascii="Times New Roman" w:hAnsi="Times New Roman" w:cs="Times New Roman"/>
          <w:bCs/>
          <w:sz w:val="24"/>
          <w:szCs w:val="24"/>
        </w:rPr>
        <w:t>2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6D77EF" w:rsidRPr="00F54CD6" w:rsidRDefault="006D77EF" w:rsidP="006D77EF">
      <w:pPr>
        <w:spacing w:after="0"/>
        <w:ind w:firstLine="56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54CD6">
        <w:rPr>
          <w:rFonts w:ascii="Times New Roman" w:eastAsia="Calibri" w:hAnsi="Times New Roman" w:cs="Times New Roman"/>
          <w:sz w:val="18"/>
          <w:szCs w:val="18"/>
        </w:rPr>
        <w:t>(тыс.руб.)</w:t>
      </w:r>
    </w:p>
    <w:tbl>
      <w:tblPr>
        <w:tblW w:w="102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48"/>
        <w:gridCol w:w="1680"/>
        <w:gridCol w:w="1655"/>
        <w:gridCol w:w="1418"/>
        <w:gridCol w:w="1417"/>
        <w:gridCol w:w="1418"/>
      </w:tblGrid>
      <w:tr w:rsidR="006D77EF" w:rsidRPr="006D77EF" w:rsidTr="00D64B82">
        <w:trPr>
          <w:trHeight w:val="21"/>
          <w:tblHeader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0C3A51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 за 202</w:t>
            </w:r>
            <w:r w:rsidR="000C3A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BE12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E123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Темп изменения</w:t>
            </w:r>
          </w:p>
          <w:p w:rsidR="006D77EF" w:rsidRPr="006D77EF" w:rsidRDefault="006D77EF" w:rsidP="000C3A51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C3A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к 202</w:t>
            </w:r>
            <w:r w:rsidR="000C3A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6D77EF" w:rsidRPr="006D77EF" w:rsidTr="00D64B82">
        <w:trPr>
          <w:trHeight w:val="21"/>
          <w:tblHeader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Прогноз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7EF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34 541,0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34 067,9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103,3</w:t>
            </w:r>
          </w:p>
        </w:tc>
      </w:tr>
      <w:tr w:rsidR="006D77EF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БЕЗВОЗМЕЗДНЫЕ</w:t>
            </w:r>
          </w:p>
          <w:p w:rsidR="006D77EF" w:rsidRPr="006D77EF" w:rsidRDefault="006D77EF" w:rsidP="006D77E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216 206,3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28 774,87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28 140,2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</w:tr>
      <w:tr w:rsidR="006D77EF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  <w:p w:rsidR="006D77EF" w:rsidRPr="006D77EF" w:rsidRDefault="006D77EF" w:rsidP="006D77E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250 747,29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62 842,89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63 818,26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D77EF" w:rsidRPr="006D77EF" w:rsidRDefault="000C3A51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25,5</w:t>
            </w:r>
          </w:p>
        </w:tc>
      </w:tr>
    </w:tbl>
    <w:p w:rsidR="006D77EF" w:rsidRPr="00060588" w:rsidRDefault="006D77EF" w:rsidP="006D77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По сравнению с предыдущим отчетным периодом фактическое поступление доходов в бюджет Навлинского городского поселения Навлинского муниципального района Брянкой области </w:t>
      </w:r>
      <w:r w:rsidR="00066AFF">
        <w:rPr>
          <w:rFonts w:ascii="Times New Roman" w:hAnsi="Times New Roman" w:cs="Times New Roman"/>
          <w:sz w:val="24"/>
          <w:szCs w:val="24"/>
        </w:rPr>
        <w:t>сниз</w:t>
      </w:r>
      <w:r w:rsidRPr="00060588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066AFF">
        <w:rPr>
          <w:rFonts w:ascii="Times New Roman" w:hAnsi="Times New Roman" w:cs="Times New Roman"/>
          <w:sz w:val="24"/>
          <w:szCs w:val="24"/>
        </w:rPr>
        <w:t>на 25,5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066AFF">
        <w:rPr>
          <w:rFonts w:ascii="Times New Roman" w:hAnsi="Times New Roman" w:cs="Times New Roman"/>
          <w:sz w:val="24"/>
          <w:szCs w:val="24"/>
        </w:rPr>
        <w:t>процента</w:t>
      </w:r>
      <w:r w:rsidRPr="00060588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066AFF">
        <w:rPr>
          <w:rFonts w:ascii="Times New Roman" w:hAnsi="Times New Roman" w:cs="Times New Roman"/>
          <w:sz w:val="24"/>
          <w:szCs w:val="24"/>
        </w:rPr>
        <w:t>уменьшения</w:t>
      </w:r>
      <w:r w:rsidRPr="00060588">
        <w:rPr>
          <w:rFonts w:ascii="Times New Roman" w:hAnsi="Times New Roman" w:cs="Times New Roman"/>
          <w:sz w:val="24"/>
          <w:szCs w:val="24"/>
        </w:rPr>
        <w:t xml:space="preserve"> безвозмездных поступлений. Объем налоговых и неналоговых доходов в бюджет за 202</w:t>
      </w:r>
      <w:r w:rsidR="00066AFF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увеличился на </w:t>
      </w:r>
      <w:r w:rsidR="00066AFF">
        <w:rPr>
          <w:rFonts w:ascii="Times New Roman" w:hAnsi="Times New Roman" w:cs="Times New Roman"/>
          <w:sz w:val="24"/>
          <w:szCs w:val="24"/>
        </w:rPr>
        <w:t>1 137,0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руб. и составил </w:t>
      </w:r>
      <w:r w:rsidR="00066AFF">
        <w:rPr>
          <w:rFonts w:ascii="Times New Roman" w:hAnsi="Times New Roman" w:cs="Times New Roman"/>
          <w:sz w:val="24"/>
          <w:szCs w:val="24"/>
        </w:rPr>
        <w:t>35 678,1</w:t>
      </w:r>
      <w:r w:rsidRPr="00060588">
        <w:rPr>
          <w:rFonts w:ascii="Times New Roman" w:hAnsi="Times New Roman" w:cs="Times New Roman"/>
          <w:sz w:val="24"/>
          <w:szCs w:val="24"/>
        </w:rPr>
        <w:t> тыс. руб. (104,</w:t>
      </w:r>
      <w:r w:rsidR="00066AFF">
        <w:rPr>
          <w:rFonts w:ascii="Times New Roman" w:hAnsi="Times New Roman" w:cs="Times New Roman"/>
          <w:sz w:val="24"/>
          <w:szCs w:val="24"/>
        </w:rPr>
        <w:t>7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процента). </w:t>
      </w:r>
    </w:p>
    <w:p w:rsidR="006D77EF" w:rsidRPr="00060588" w:rsidRDefault="006D77EF" w:rsidP="006D77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В 202</w:t>
      </w:r>
      <w:r w:rsidR="00461C3E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налоговые и неналоговые доходы бюджета Навлинского городского поселения Навлинского муниципального района Брянкой области занимали </w:t>
      </w:r>
      <w:r w:rsidR="00461C3E">
        <w:rPr>
          <w:rFonts w:ascii="Times New Roman" w:hAnsi="Times New Roman" w:cs="Times New Roman"/>
          <w:sz w:val="24"/>
          <w:szCs w:val="24"/>
        </w:rPr>
        <w:t>55,9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 (в 202</w:t>
      </w:r>
      <w:r w:rsidR="00461C3E">
        <w:rPr>
          <w:rFonts w:ascii="Times New Roman" w:hAnsi="Times New Roman" w:cs="Times New Roman"/>
          <w:sz w:val="24"/>
          <w:szCs w:val="24"/>
        </w:rPr>
        <w:t>1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61C3E">
        <w:rPr>
          <w:rFonts w:ascii="Times New Roman" w:hAnsi="Times New Roman" w:cs="Times New Roman"/>
          <w:sz w:val="24"/>
          <w:szCs w:val="24"/>
        </w:rPr>
        <w:t>13,8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процента) в общем объеме доходной части бюджета, безвозмездные поступления – </w:t>
      </w:r>
      <w:r w:rsidR="00461C3E">
        <w:rPr>
          <w:rFonts w:ascii="Times New Roman" w:hAnsi="Times New Roman" w:cs="Times New Roman"/>
          <w:sz w:val="24"/>
          <w:szCs w:val="24"/>
        </w:rPr>
        <w:t>44,1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процентов (в 2020 году – </w:t>
      </w:r>
      <w:r w:rsidR="00461C3E">
        <w:rPr>
          <w:rFonts w:ascii="Times New Roman" w:hAnsi="Times New Roman" w:cs="Times New Roman"/>
          <w:sz w:val="24"/>
          <w:szCs w:val="24"/>
        </w:rPr>
        <w:t>86,2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процентов).</w:t>
      </w:r>
    </w:p>
    <w:p w:rsidR="00865650" w:rsidRPr="00060588" w:rsidRDefault="00AE430B" w:rsidP="00AE43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C7D34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5F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в бюджет поселения поступило </w:t>
      </w:r>
      <w:r w:rsidR="008D5F1C">
        <w:rPr>
          <w:rFonts w:ascii="Times New Roman" w:hAnsi="Times New Roman" w:cs="Times New Roman"/>
          <w:sz w:val="24"/>
          <w:szCs w:val="24"/>
        </w:rPr>
        <w:t>35 678,1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="008D5F1C">
        <w:rPr>
          <w:rFonts w:ascii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hAnsi="Times New Roman" w:cs="Times New Roman"/>
          <w:sz w:val="24"/>
          <w:szCs w:val="24"/>
        </w:rPr>
        <w:t>руб.,</w:t>
      </w:r>
      <w:r w:rsidR="006D77EF" w:rsidRPr="00060588">
        <w:rPr>
          <w:rFonts w:ascii="Times New Roman" w:hAnsi="Times New Roman" w:cs="Times New Roman"/>
          <w:sz w:val="24"/>
          <w:szCs w:val="24"/>
        </w:rPr>
        <w:t xml:space="preserve"> или </w:t>
      </w:r>
      <w:r w:rsidR="008D5F1C">
        <w:rPr>
          <w:rFonts w:ascii="Times New Roman" w:hAnsi="Times New Roman" w:cs="Times New Roman"/>
          <w:sz w:val="24"/>
          <w:szCs w:val="24"/>
        </w:rPr>
        <w:t>104,7</w:t>
      </w:r>
      <w:r w:rsidR="006D77EF" w:rsidRPr="00060588">
        <w:rPr>
          <w:rFonts w:ascii="Times New Roman" w:hAnsi="Times New Roman" w:cs="Times New Roman"/>
          <w:sz w:val="24"/>
          <w:szCs w:val="24"/>
        </w:rPr>
        <w:t xml:space="preserve"> % от прогнозного плана, 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8D5F1C">
        <w:rPr>
          <w:rFonts w:ascii="Times New Roman" w:hAnsi="Times New Roman" w:cs="Times New Roman"/>
          <w:sz w:val="24"/>
          <w:szCs w:val="24"/>
        </w:rPr>
        <w:t>1 137,0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 тыс. рублей больше, чем в 202</w:t>
      </w:r>
      <w:r w:rsidR="008D5F1C">
        <w:rPr>
          <w:rFonts w:ascii="Times New Roman" w:hAnsi="Times New Roman" w:cs="Times New Roman"/>
          <w:sz w:val="24"/>
          <w:szCs w:val="24"/>
        </w:rPr>
        <w:t xml:space="preserve">1 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году, темп роста </w:t>
      </w:r>
      <w:r w:rsidR="008D5F1C">
        <w:rPr>
          <w:rFonts w:ascii="Times New Roman" w:hAnsi="Times New Roman" w:cs="Times New Roman"/>
          <w:sz w:val="24"/>
          <w:szCs w:val="24"/>
        </w:rPr>
        <w:t>103,3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865650" w:rsidRPr="00060588" w:rsidRDefault="00865650" w:rsidP="0086565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Сравнительный анализ структуры поступления доходов в бюджеты разных уровней в 202</w:t>
      </w:r>
      <w:r w:rsidR="00B7239B">
        <w:rPr>
          <w:rFonts w:ascii="Times New Roman" w:hAnsi="Times New Roman" w:cs="Times New Roman"/>
          <w:sz w:val="24"/>
          <w:szCs w:val="24"/>
        </w:rPr>
        <w:t>1</w:t>
      </w:r>
      <w:r w:rsidRPr="00060588">
        <w:rPr>
          <w:rFonts w:ascii="Times New Roman" w:hAnsi="Times New Roman" w:cs="Times New Roman"/>
          <w:sz w:val="24"/>
          <w:szCs w:val="24"/>
        </w:rPr>
        <w:t>-202</w:t>
      </w:r>
      <w:r w:rsidR="00B7239B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годах приведен в таблице:</w:t>
      </w:r>
    </w:p>
    <w:p w:rsidR="00865650" w:rsidRPr="00F54CD6" w:rsidRDefault="00865650" w:rsidP="00865650">
      <w:pPr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F54CD6">
        <w:rPr>
          <w:rFonts w:ascii="Times New Roman" w:hAnsi="Times New Roman" w:cs="Times New Roman"/>
          <w:sz w:val="18"/>
          <w:szCs w:val="18"/>
        </w:rPr>
        <w:t xml:space="preserve"> (тыс.руб.)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113"/>
        <w:gridCol w:w="1202"/>
        <w:gridCol w:w="1335"/>
        <w:gridCol w:w="1416"/>
      </w:tblGrid>
      <w:tr w:rsidR="00865650" w:rsidRPr="00865650" w:rsidTr="00865650">
        <w:trPr>
          <w:trHeight w:val="20"/>
        </w:trPr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0" w:rsidRPr="00865650" w:rsidRDefault="00865650" w:rsidP="0086565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Поступления доходов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Поступило платежей в 202</w:t>
            </w:r>
            <w:r w:rsidR="00B7239B">
              <w:rPr>
                <w:rFonts w:ascii="Times New Roman" w:hAnsi="Times New Roman" w:cs="Times New Roman"/>
              </w:rPr>
              <w:t>2</w:t>
            </w:r>
            <w:r w:rsidRPr="00865650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0" w:rsidRPr="00865650" w:rsidRDefault="00865650" w:rsidP="00865650">
            <w:pPr>
              <w:spacing w:line="240" w:lineRule="auto"/>
              <w:ind w:firstLine="51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Структура поступлений по уровням бюджетов, %</w:t>
            </w:r>
          </w:p>
        </w:tc>
      </w:tr>
      <w:tr w:rsidR="00865650" w:rsidRPr="00865650" w:rsidTr="00865650">
        <w:trPr>
          <w:trHeight w:val="20"/>
        </w:trPr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0" w:rsidRPr="00865650" w:rsidRDefault="00865650" w:rsidP="008656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0" w:rsidRPr="00865650" w:rsidRDefault="00865650" w:rsidP="008656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</w:t>
            </w:r>
            <w:r w:rsidR="00B7239B">
              <w:rPr>
                <w:rFonts w:ascii="Times New Roman" w:hAnsi="Times New Roman" w:cs="Times New Roman"/>
              </w:rPr>
              <w:t>1</w:t>
            </w:r>
            <w:r w:rsidRPr="0086565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</w:t>
            </w:r>
            <w:r w:rsidR="00B7239B">
              <w:rPr>
                <w:rFonts w:ascii="Times New Roman" w:hAnsi="Times New Roman" w:cs="Times New Roman"/>
              </w:rPr>
              <w:t>2</w:t>
            </w:r>
            <w:r w:rsidRPr="0086565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865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2021г. к 2020г. (+, -)</w:t>
            </w: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бюджеты всех уровней – всего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</w:rPr>
              <w:t> </w:t>
            </w:r>
            <w:r w:rsidRPr="00865650">
              <w:rPr>
                <w:rFonts w:ascii="Times New Roman" w:hAnsi="Times New Roman" w:cs="Times New Roman"/>
              </w:rPr>
              <w:t>698</w:t>
            </w:r>
            <w:r>
              <w:rPr>
                <w:rFonts w:ascii="Times New Roman" w:hAnsi="Times New Roman" w:cs="Times New Roman"/>
              </w:rPr>
              <w:t>,</w:t>
            </w:r>
            <w:r w:rsidRPr="00865650">
              <w:rPr>
                <w:rFonts w:ascii="Times New Roman" w:hAnsi="Times New Roman" w:cs="Times New Roman"/>
              </w:rPr>
              <w:t> 19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283 642,98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FD166E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 xml:space="preserve">  </w:t>
            </w:r>
            <w:r w:rsidR="00FD166E">
              <w:rPr>
                <w:rFonts w:ascii="Times New Roman" w:hAnsi="Times New Roman" w:cs="Times New Roman"/>
              </w:rPr>
              <w:t>100,0</w:t>
            </w: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65650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ind w:firstLine="567"/>
              <w:rPr>
                <w:rFonts w:ascii="Times New Roman" w:hAnsi="Times New Roman" w:cs="Times New Roman"/>
                <w:i/>
              </w:rPr>
            </w:pP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федеральный, областной и районный бюджеты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246 157,2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87,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FD166E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247 964,9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FD166E" w:rsidP="00B7239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бюджет поселения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35 678,1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35 678,1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FD166E" w:rsidP="00B7239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</w:tbl>
    <w:p w:rsidR="00760EB1" w:rsidRDefault="00760EB1" w:rsidP="00F54CD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0EB1" w:rsidRDefault="00760EB1" w:rsidP="00F54CD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4CD6" w:rsidRPr="00F54CD6" w:rsidRDefault="00F54CD6" w:rsidP="00F54CD6">
      <w:pPr>
        <w:ind w:firstLine="567"/>
        <w:jc w:val="center"/>
        <w:rPr>
          <w:rFonts w:ascii="Times New Roman" w:hAnsi="Times New Roman" w:cs="Times New Roman"/>
          <w:bCs/>
          <w:highlight w:val="yellow"/>
        </w:rPr>
      </w:pPr>
      <w:r w:rsidRPr="00060588">
        <w:rPr>
          <w:rFonts w:ascii="Times New Roman" w:hAnsi="Times New Roman" w:cs="Times New Roman"/>
          <w:sz w:val="24"/>
          <w:szCs w:val="24"/>
        </w:rPr>
        <w:lastRenderedPageBreak/>
        <w:t>Итоги исполнения бюджета Навлинского городского поселения Навлинского муниципального района Брянкой области по налоговым и неналоговым доходам в 202</w:t>
      </w:r>
      <w:r w:rsidR="00760EB1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F54CD6">
        <w:rPr>
          <w:rFonts w:ascii="Times New Roman" w:hAnsi="Times New Roman" w:cs="Times New Roman"/>
          <w:bCs/>
        </w:rPr>
        <w:t>(тыс</w:t>
      </w:r>
      <w:r>
        <w:rPr>
          <w:rFonts w:ascii="Times New Roman" w:hAnsi="Times New Roman" w:cs="Times New Roman"/>
          <w:bCs/>
        </w:rPr>
        <w:t>.</w:t>
      </w:r>
      <w:r w:rsidRPr="00F54CD6">
        <w:rPr>
          <w:rFonts w:ascii="Times New Roman" w:hAnsi="Times New Roman" w:cs="Times New Roman"/>
          <w:bCs/>
        </w:rPr>
        <w:t>руб.)</w:t>
      </w:r>
    </w:p>
    <w:tbl>
      <w:tblPr>
        <w:tblW w:w="10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1701"/>
        <w:gridCol w:w="1554"/>
        <w:gridCol w:w="1559"/>
        <w:gridCol w:w="1446"/>
        <w:gridCol w:w="1106"/>
      </w:tblGrid>
      <w:tr w:rsidR="00F54CD6" w:rsidRPr="00F54CD6" w:rsidTr="00D64B82">
        <w:trPr>
          <w:trHeight w:val="20"/>
        </w:trPr>
        <w:tc>
          <w:tcPr>
            <w:tcW w:w="3007" w:type="dxa"/>
            <w:vMerge w:val="restart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4CD6" w:rsidRPr="00F54CD6" w:rsidRDefault="00F54CD6" w:rsidP="00E556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Исполнено           за 202</w:t>
            </w:r>
            <w:r w:rsidR="00E55635">
              <w:rPr>
                <w:rFonts w:ascii="Times New Roman" w:hAnsi="Times New Roman" w:cs="Times New Roman"/>
                <w:bCs/>
              </w:rPr>
              <w:t>1</w:t>
            </w:r>
            <w:r w:rsidRPr="00F54CD6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4559" w:type="dxa"/>
            <w:gridSpan w:val="3"/>
            <w:shd w:val="clear" w:color="auto" w:fill="auto"/>
          </w:tcPr>
          <w:p w:rsidR="00F54CD6" w:rsidRPr="00F54CD6" w:rsidRDefault="00F54CD6" w:rsidP="00E55635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202</w:t>
            </w:r>
            <w:r w:rsidR="00E55635">
              <w:rPr>
                <w:rFonts w:ascii="Times New Roman" w:hAnsi="Times New Roman" w:cs="Times New Roman"/>
                <w:bCs/>
              </w:rPr>
              <w:t>2</w:t>
            </w:r>
            <w:r w:rsidRPr="00F54CD6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Темп</w:t>
            </w:r>
          </w:p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роста,</w:t>
            </w:r>
          </w:p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F54CD6" w:rsidRPr="00F54CD6" w:rsidTr="00D64B82">
        <w:trPr>
          <w:trHeight w:val="20"/>
        </w:trPr>
        <w:tc>
          <w:tcPr>
            <w:tcW w:w="3007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Утверждено</w:t>
            </w:r>
          </w:p>
        </w:tc>
        <w:tc>
          <w:tcPr>
            <w:tcW w:w="1559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Исполнено</w:t>
            </w:r>
          </w:p>
        </w:tc>
        <w:tc>
          <w:tcPr>
            <w:tcW w:w="1446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Выполнение плана, %</w:t>
            </w:r>
          </w:p>
        </w:tc>
        <w:tc>
          <w:tcPr>
            <w:tcW w:w="1106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F54CD6" w:rsidRPr="00F54CD6" w:rsidTr="00D64B82">
        <w:trPr>
          <w:trHeight w:val="20"/>
        </w:trPr>
        <w:tc>
          <w:tcPr>
            <w:tcW w:w="3007" w:type="dxa"/>
            <w:shd w:val="clear" w:color="auto" w:fill="auto"/>
          </w:tcPr>
          <w:p w:rsidR="00F54CD6" w:rsidRPr="00F54CD6" w:rsidRDefault="00F54CD6" w:rsidP="00D64B82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Налоговые и неналоговые доходы, всего</w:t>
            </w:r>
          </w:p>
        </w:tc>
        <w:tc>
          <w:tcPr>
            <w:tcW w:w="1701" w:type="dxa"/>
            <w:shd w:val="clear" w:color="auto" w:fill="auto"/>
          </w:tcPr>
          <w:p w:rsidR="00F54CD6" w:rsidRPr="00F54CD6" w:rsidRDefault="00F54CD6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34 541,0</w:t>
            </w:r>
          </w:p>
        </w:tc>
        <w:tc>
          <w:tcPr>
            <w:tcW w:w="1554" w:type="dxa"/>
            <w:shd w:val="clear" w:color="auto" w:fill="auto"/>
          </w:tcPr>
          <w:p w:rsidR="00F54CD6" w:rsidRPr="00F54CD6" w:rsidRDefault="00F54CD6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34 067,9</w:t>
            </w:r>
          </w:p>
        </w:tc>
        <w:tc>
          <w:tcPr>
            <w:tcW w:w="1559" w:type="dxa"/>
            <w:shd w:val="clear" w:color="auto" w:fill="auto"/>
          </w:tcPr>
          <w:p w:rsidR="00F54CD6" w:rsidRPr="00F54CD6" w:rsidRDefault="00F54CD6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35 678,0</w:t>
            </w:r>
          </w:p>
        </w:tc>
        <w:tc>
          <w:tcPr>
            <w:tcW w:w="1446" w:type="dxa"/>
            <w:shd w:val="clear" w:color="auto" w:fill="auto"/>
          </w:tcPr>
          <w:p w:rsidR="00F54CD6" w:rsidRPr="00F54CD6" w:rsidRDefault="00F54CD6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54CD6" w:rsidRPr="00F54CD6" w:rsidRDefault="00E55635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104,7</w:t>
            </w:r>
          </w:p>
        </w:tc>
        <w:tc>
          <w:tcPr>
            <w:tcW w:w="1106" w:type="dxa"/>
            <w:shd w:val="clear" w:color="auto" w:fill="auto"/>
          </w:tcPr>
          <w:p w:rsidR="00F54CD6" w:rsidRPr="00F54CD6" w:rsidRDefault="00F54CD6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F54CD6" w:rsidRPr="00F54CD6" w:rsidRDefault="00E55635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103,3</w:t>
            </w:r>
          </w:p>
        </w:tc>
      </w:tr>
      <w:tr w:rsidR="00F54CD6" w:rsidRPr="00F54CD6" w:rsidTr="00D64B82">
        <w:trPr>
          <w:trHeight w:val="20"/>
        </w:trPr>
        <w:tc>
          <w:tcPr>
            <w:tcW w:w="3007" w:type="dxa"/>
            <w:shd w:val="clear" w:color="auto" w:fill="auto"/>
          </w:tcPr>
          <w:p w:rsidR="00F54CD6" w:rsidRPr="00F54CD6" w:rsidRDefault="00F54CD6" w:rsidP="00D64B82">
            <w:pPr>
              <w:rPr>
                <w:rFonts w:ascii="Times New Roman" w:hAnsi="Times New Roman" w:cs="Times New Roman"/>
                <w:bCs/>
                <w:i/>
              </w:rPr>
            </w:pPr>
            <w:r w:rsidRPr="00F54CD6">
              <w:rPr>
                <w:rFonts w:ascii="Times New Roman" w:hAnsi="Times New Roman" w:cs="Times New Roman"/>
                <w:bCs/>
                <w:i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F54CD6" w:rsidRPr="00F54CD6" w:rsidRDefault="00F54CD6" w:rsidP="00D64B82">
            <w:pPr>
              <w:ind w:firstLine="567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F54CD6" w:rsidRPr="00F54CD6" w:rsidRDefault="00F54CD6" w:rsidP="00D64B82">
            <w:pPr>
              <w:ind w:firstLine="567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54CD6" w:rsidRPr="00F54CD6" w:rsidRDefault="00F54CD6" w:rsidP="00D64B82">
            <w:pPr>
              <w:ind w:firstLine="567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6" w:type="dxa"/>
            <w:shd w:val="clear" w:color="auto" w:fill="auto"/>
          </w:tcPr>
          <w:p w:rsidR="00F54CD6" w:rsidRPr="00F54CD6" w:rsidRDefault="00F54CD6" w:rsidP="00D64B82">
            <w:pPr>
              <w:ind w:firstLine="567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6" w:type="dxa"/>
            <w:shd w:val="clear" w:color="auto" w:fill="auto"/>
          </w:tcPr>
          <w:p w:rsidR="00F54CD6" w:rsidRPr="00F54CD6" w:rsidRDefault="00F54CD6" w:rsidP="00D64B82">
            <w:pPr>
              <w:ind w:firstLine="567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F54CD6" w:rsidRPr="00F54CD6" w:rsidTr="00D64B82">
        <w:trPr>
          <w:trHeight w:val="20"/>
        </w:trPr>
        <w:tc>
          <w:tcPr>
            <w:tcW w:w="3007" w:type="dxa"/>
            <w:shd w:val="clear" w:color="auto" w:fill="auto"/>
          </w:tcPr>
          <w:p w:rsidR="00F54CD6" w:rsidRPr="00F54CD6" w:rsidRDefault="00F54CD6" w:rsidP="00D64B82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</w:tcPr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33 066,2</w:t>
            </w:r>
          </w:p>
        </w:tc>
        <w:tc>
          <w:tcPr>
            <w:tcW w:w="1554" w:type="dxa"/>
            <w:shd w:val="clear" w:color="auto" w:fill="auto"/>
          </w:tcPr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32 576,9</w:t>
            </w:r>
          </w:p>
        </w:tc>
        <w:tc>
          <w:tcPr>
            <w:tcW w:w="1559" w:type="dxa"/>
            <w:shd w:val="clear" w:color="auto" w:fill="auto"/>
          </w:tcPr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34 168,8</w:t>
            </w:r>
          </w:p>
        </w:tc>
        <w:tc>
          <w:tcPr>
            <w:tcW w:w="1446" w:type="dxa"/>
            <w:shd w:val="clear" w:color="auto" w:fill="auto"/>
          </w:tcPr>
          <w:p w:rsidR="00F54CD6" w:rsidRPr="00F54CD6" w:rsidRDefault="00E55635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104,9</w:t>
            </w:r>
          </w:p>
        </w:tc>
        <w:tc>
          <w:tcPr>
            <w:tcW w:w="1106" w:type="dxa"/>
            <w:shd w:val="clear" w:color="auto" w:fill="auto"/>
          </w:tcPr>
          <w:p w:rsidR="00F54CD6" w:rsidRPr="00F54CD6" w:rsidRDefault="00E55635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103,3</w:t>
            </w:r>
          </w:p>
        </w:tc>
      </w:tr>
      <w:tr w:rsidR="00F54CD6" w:rsidRPr="00F54CD6" w:rsidTr="00D64B82">
        <w:trPr>
          <w:trHeight w:val="20"/>
        </w:trPr>
        <w:tc>
          <w:tcPr>
            <w:tcW w:w="3007" w:type="dxa"/>
            <w:shd w:val="clear" w:color="auto" w:fill="auto"/>
          </w:tcPr>
          <w:p w:rsidR="00F54CD6" w:rsidRPr="00F54CD6" w:rsidRDefault="00F54CD6" w:rsidP="00D64B82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1 474,8</w:t>
            </w:r>
          </w:p>
        </w:tc>
        <w:tc>
          <w:tcPr>
            <w:tcW w:w="1554" w:type="dxa"/>
            <w:shd w:val="clear" w:color="auto" w:fill="auto"/>
          </w:tcPr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1 491,0</w:t>
            </w:r>
          </w:p>
        </w:tc>
        <w:tc>
          <w:tcPr>
            <w:tcW w:w="1559" w:type="dxa"/>
            <w:shd w:val="clear" w:color="auto" w:fill="auto"/>
          </w:tcPr>
          <w:p w:rsidR="00F54CD6" w:rsidRPr="00F54CD6" w:rsidRDefault="00E55635" w:rsidP="00F54C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1 509,3</w:t>
            </w:r>
          </w:p>
        </w:tc>
        <w:tc>
          <w:tcPr>
            <w:tcW w:w="1446" w:type="dxa"/>
            <w:shd w:val="clear" w:color="auto" w:fill="auto"/>
          </w:tcPr>
          <w:p w:rsidR="00F54CD6" w:rsidRPr="00F54CD6" w:rsidRDefault="00E55635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101,2</w:t>
            </w:r>
          </w:p>
        </w:tc>
        <w:tc>
          <w:tcPr>
            <w:tcW w:w="1106" w:type="dxa"/>
            <w:shd w:val="clear" w:color="auto" w:fill="auto"/>
          </w:tcPr>
          <w:p w:rsidR="00F54CD6" w:rsidRPr="00F54CD6" w:rsidRDefault="00E55635" w:rsidP="00D64B8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102,3</w:t>
            </w:r>
          </w:p>
        </w:tc>
      </w:tr>
    </w:tbl>
    <w:p w:rsidR="00F54CD6" w:rsidRPr="00060588" w:rsidRDefault="00F54CD6" w:rsidP="00F54CD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588">
        <w:rPr>
          <w:rFonts w:ascii="Times New Roman" w:hAnsi="Times New Roman" w:cs="Times New Roman"/>
          <w:bCs/>
          <w:sz w:val="24"/>
          <w:szCs w:val="24"/>
        </w:rPr>
        <w:t>В 202</w:t>
      </w:r>
      <w:r w:rsidR="000B0595">
        <w:rPr>
          <w:rFonts w:ascii="Times New Roman" w:hAnsi="Times New Roman" w:cs="Times New Roman"/>
          <w:bCs/>
          <w:sz w:val="24"/>
          <w:szCs w:val="24"/>
        </w:rPr>
        <w:t>2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году более </w:t>
      </w:r>
      <w:r w:rsidR="000B0595">
        <w:rPr>
          <w:rFonts w:ascii="Times New Roman" w:hAnsi="Times New Roman" w:cs="Times New Roman"/>
          <w:bCs/>
          <w:sz w:val="24"/>
          <w:szCs w:val="24"/>
        </w:rPr>
        <w:t>83,3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процентов налоговых и неналоговых доходов бюджета Навлинского городского поселения Навлинского муниципального района Брянкой области получено за счет налога на доходы физических лиц, налогов на имущество (земельный налог и налог на имущество физических лиц) и налогов на товары (работы, услуги) реализуемые на территории РФ.</w:t>
      </w:r>
    </w:p>
    <w:p w:rsidR="00F54CD6" w:rsidRPr="00060588" w:rsidRDefault="00F54CD6" w:rsidP="00F54CD6">
      <w:pPr>
        <w:ind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588">
        <w:rPr>
          <w:rFonts w:ascii="Times New Roman" w:eastAsia="Calibri" w:hAnsi="Times New Roman" w:cs="Times New Roman"/>
          <w:bCs/>
          <w:sz w:val="24"/>
          <w:szCs w:val="24"/>
        </w:rPr>
        <w:t>Поступление основных налогов в 202</w:t>
      </w:r>
      <w:r w:rsidR="000B059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060588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B059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60588">
        <w:rPr>
          <w:rFonts w:ascii="Times New Roman" w:eastAsia="Calibri" w:hAnsi="Times New Roman" w:cs="Times New Roman"/>
          <w:bCs/>
          <w:sz w:val="24"/>
          <w:szCs w:val="24"/>
        </w:rPr>
        <w:t xml:space="preserve"> гг.</w:t>
      </w:r>
      <w:r w:rsidRPr="00060588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29"/>
        <w:gridCol w:w="1486"/>
        <w:gridCol w:w="1592"/>
        <w:gridCol w:w="1535"/>
        <w:gridCol w:w="1125"/>
        <w:gridCol w:w="1127"/>
      </w:tblGrid>
      <w:tr w:rsidR="00F54CD6" w:rsidRPr="00F54CD6" w:rsidTr="00D64B82">
        <w:trPr>
          <w:trHeight w:val="8"/>
          <w:tblHeader/>
          <w:jc w:val="center"/>
        </w:trPr>
        <w:tc>
          <w:tcPr>
            <w:tcW w:w="3329" w:type="dxa"/>
            <w:vMerge w:val="restart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F54CD6" w:rsidRPr="00F54CD6" w:rsidRDefault="00F54CD6" w:rsidP="000B05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Поступило в 202</w:t>
            </w:r>
            <w:r w:rsidR="000B0595">
              <w:rPr>
                <w:rFonts w:ascii="Times New Roman" w:hAnsi="Times New Roman" w:cs="Times New Roman"/>
              </w:rPr>
              <w:t>1</w:t>
            </w:r>
            <w:r w:rsidRPr="00F54CD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54CD6" w:rsidRPr="00F54CD6" w:rsidRDefault="00F54CD6" w:rsidP="000B05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202</w:t>
            </w:r>
            <w:r w:rsidR="000B0595">
              <w:rPr>
                <w:rFonts w:ascii="Times New Roman" w:hAnsi="Times New Roman" w:cs="Times New Roman"/>
              </w:rPr>
              <w:t>2</w:t>
            </w:r>
            <w:r w:rsidRPr="00F54CD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Темп</w:t>
            </w: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   роста,</w:t>
            </w: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%</w:t>
            </w:r>
          </w:p>
        </w:tc>
      </w:tr>
      <w:tr w:rsidR="00F54CD6" w:rsidRPr="00F54CD6" w:rsidTr="00D64B82">
        <w:trPr>
          <w:trHeight w:val="8"/>
          <w:tblHeader/>
          <w:jc w:val="center"/>
        </w:trPr>
        <w:tc>
          <w:tcPr>
            <w:tcW w:w="3329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F54CD6">
              <w:rPr>
                <w:rFonts w:ascii="Times New Roman" w:hAnsi="Times New Roman" w:cs="Times New Roman"/>
              </w:rPr>
              <w:t>плана, %</w:t>
            </w:r>
          </w:p>
        </w:tc>
        <w:tc>
          <w:tcPr>
            <w:tcW w:w="1127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13 326,8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14 301,6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15 076,7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113,1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3 407,9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3 920,7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4 027,79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1 243,8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6 346,69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7 192,0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7 675,6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8 780,97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6 722,8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6 952,3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-39 978,81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-3,39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</w:t>
            </w:r>
            <w:r w:rsidRPr="00F54CD6">
              <w:rPr>
                <w:rFonts w:ascii="Times New Roman" w:hAnsi="Times New Roman" w:cs="Times New Roman"/>
              </w:rPr>
              <w:lastRenderedPageBreak/>
              <w:t>участки государственной собственности, на которые не разграничения,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437,2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497,6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845,2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778,1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778,1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127,6</w:t>
            </w:r>
          </w:p>
        </w:tc>
      </w:tr>
      <w:tr w:rsidR="00F54CD6" w:rsidRPr="00F54CD6" w:rsidTr="00D64B82">
        <w:trPr>
          <w:trHeight w:val="321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-16,1</w:t>
            </w:r>
          </w:p>
        </w:tc>
      </w:tr>
    </w:tbl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Бюджет Навлинского городского поселения Навлинского муниципального района Брянкой области за 202</w:t>
      </w:r>
      <w:r w:rsidR="00BE10A5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исполнен по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доходам в сумме </w:t>
      </w:r>
      <w:r w:rsidR="00BE10A5">
        <w:rPr>
          <w:rFonts w:ascii="Times New Roman" w:hAnsi="Times New Roman" w:cs="Times New Roman"/>
          <w:b/>
          <w:sz w:val="24"/>
          <w:szCs w:val="24"/>
        </w:rPr>
        <w:t>63 818,26</w:t>
      </w:r>
      <w:r w:rsidR="00936A50" w:rsidRPr="00060588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 руб., что составляет </w:t>
      </w:r>
      <w:r w:rsidR="00BE10A5">
        <w:rPr>
          <w:rFonts w:ascii="Times New Roman" w:hAnsi="Times New Roman" w:cs="Times New Roman"/>
          <w:b/>
          <w:sz w:val="24"/>
          <w:szCs w:val="24"/>
        </w:rPr>
        <w:t xml:space="preserve">101,6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% к годовому плану.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В объеме доходов бюджета налоговые и неналоговые доходы составили </w:t>
      </w:r>
      <w:r w:rsidR="00BE10A5">
        <w:rPr>
          <w:rFonts w:ascii="Times New Roman" w:hAnsi="Times New Roman" w:cs="Times New Roman"/>
          <w:sz w:val="24"/>
          <w:szCs w:val="24"/>
        </w:rPr>
        <w:t>55,9</w:t>
      </w:r>
      <w:r w:rsidRPr="00060588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из областного бюджета – </w:t>
      </w:r>
      <w:r w:rsidR="00BE10A5">
        <w:rPr>
          <w:rFonts w:ascii="Times New Roman" w:hAnsi="Times New Roman" w:cs="Times New Roman"/>
          <w:sz w:val="24"/>
          <w:szCs w:val="24"/>
        </w:rPr>
        <w:t>43,8</w:t>
      </w:r>
      <w:r w:rsidRPr="00060588">
        <w:rPr>
          <w:rFonts w:ascii="Times New Roman" w:hAnsi="Times New Roman" w:cs="Times New Roman"/>
          <w:sz w:val="24"/>
          <w:szCs w:val="24"/>
        </w:rPr>
        <w:t xml:space="preserve">%, прочие безвозмездные поступления – </w:t>
      </w:r>
      <w:r w:rsidR="00BE10A5">
        <w:rPr>
          <w:rFonts w:ascii="Times New Roman" w:hAnsi="Times New Roman" w:cs="Times New Roman"/>
          <w:sz w:val="24"/>
          <w:szCs w:val="24"/>
        </w:rPr>
        <w:t>0,3</w:t>
      </w:r>
      <w:r w:rsidRPr="0006058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доходов увеличен к уровню прошлого года на </w:t>
      </w:r>
      <w:r w:rsidR="00EE02E1">
        <w:rPr>
          <w:rFonts w:ascii="Times New Roman" w:hAnsi="Times New Roman" w:cs="Times New Roman"/>
          <w:sz w:val="24"/>
          <w:szCs w:val="24"/>
        </w:rPr>
        <w:t>1 137,0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 и составил </w:t>
      </w:r>
      <w:r w:rsidR="00EE02E1">
        <w:rPr>
          <w:rFonts w:ascii="Times New Roman" w:hAnsi="Times New Roman" w:cs="Times New Roman"/>
          <w:sz w:val="24"/>
          <w:szCs w:val="24"/>
        </w:rPr>
        <w:t>35 678,1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руб., темп роста – </w:t>
      </w:r>
      <w:r w:rsidR="00EE02E1">
        <w:rPr>
          <w:rFonts w:ascii="Times New Roman" w:hAnsi="Times New Roman" w:cs="Times New Roman"/>
          <w:sz w:val="24"/>
          <w:szCs w:val="24"/>
        </w:rPr>
        <w:t xml:space="preserve">103,3 </w:t>
      </w:r>
      <w:r w:rsidRPr="00060588">
        <w:rPr>
          <w:rFonts w:ascii="Times New Roman" w:hAnsi="Times New Roman" w:cs="Times New Roman"/>
          <w:sz w:val="24"/>
          <w:szCs w:val="24"/>
        </w:rPr>
        <w:t>%.  Годовой план исполнен на 10</w:t>
      </w:r>
      <w:r w:rsidR="00EE02E1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,7%.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В структуре собственных доходов удельный вес налоговых платежей составил 95,</w:t>
      </w:r>
      <w:r w:rsidR="00EE02E1">
        <w:rPr>
          <w:rFonts w:ascii="Times New Roman" w:hAnsi="Times New Roman" w:cs="Times New Roman"/>
          <w:sz w:val="24"/>
          <w:szCs w:val="24"/>
        </w:rPr>
        <w:t>8</w:t>
      </w:r>
      <w:r w:rsidRPr="00060588">
        <w:rPr>
          <w:rFonts w:ascii="Times New Roman" w:hAnsi="Times New Roman" w:cs="Times New Roman"/>
          <w:sz w:val="24"/>
          <w:szCs w:val="24"/>
        </w:rPr>
        <w:t>% (</w:t>
      </w:r>
      <w:r w:rsidR="00EE02E1">
        <w:rPr>
          <w:rFonts w:ascii="Times New Roman" w:hAnsi="Times New Roman" w:cs="Times New Roman"/>
          <w:sz w:val="24"/>
          <w:szCs w:val="24"/>
        </w:rPr>
        <w:t>34 168,78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руб.), неналоговых – 4,</w:t>
      </w:r>
      <w:r w:rsidR="00EE02E1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>% (</w:t>
      </w:r>
      <w:r w:rsidR="00EE02E1">
        <w:rPr>
          <w:rFonts w:ascii="Times New Roman" w:hAnsi="Times New Roman" w:cs="Times New Roman"/>
          <w:sz w:val="24"/>
          <w:szCs w:val="24"/>
        </w:rPr>
        <w:t xml:space="preserve">1 509,3 </w:t>
      </w:r>
      <w:r w:rsidR="00936A50" w:rsidRPr="00060588">
        <w:rPr>
          <w:rFonts w:ascii="Times New Roman" w:hAnsi="Times New Roman" w:cs="Times New Roman"/>
          <w:sz w:val="24"/>
          <w:szCs w:val="24"/>
        </w:rPr>
        <w:t>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F54CD6" w:rsidRPr="00060588" w:rsidRDefault="00F54CD6" w:rsidP="00F54CD6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Основными налогами, формирующими доходы бюджета поселения, являются налог на доходы физических лиц, земельный налог и налог на имущество физических лиц. </w:t>
      </w:r>
    </w:p>
    <w:p w:rsidR="00F54CD6" w:rsidRPr="00060588" w:rsidRDefault="00F54CD6" w:rsidP="00F54CD6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доходы от поступления этих налогов составили 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>29 704,6</w:t>
      </w:r>
      <w:r w:rsidR="00936A50"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руб. или 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83,3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 собственных доходов бюджета поселения.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Наибольший удельный вес в структуре собственных доходов по-прежнему остается за </w:t>
      </w: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t>налогом на доходы физических лиц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42,3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Объем поступлений НДФЛ к АППГ увеличен на 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>1 749,9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 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>15 076,7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105,4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Земельный налог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в структуре собственных доходов составил 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 xml:space="preserve">19,5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поступления к АППГ снижены на 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>1 828,7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>6 952,3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Pr="00060588">
        <w:rPr>
          <w:rFonts w:ascii="Times New Roman" w:hAnsi="Times New Roman" w:cs="Times New Roman"/>
          <w:sz w:val="24"/>
          <w:szCs w:val="24"/>
        </w:rPr>
        <w:t xml:space="preserve">Снижение поступлений объясняется с уменьшением кадастровой стоимости </w:t>
      </w:r>
      <w:r w:rsidR="002E2C9C">
        <w:rPr>
          <w:rFonts w:ascii="Times New Roman" w:hAnsi="Times New Roman" w:cs="Times New Roman"/>
          <w:sz w:val="24"/>
          <w:szCs w:val="24"/>
        </w:rPr>
        <w:t>земельных участков собственниками в установленном законодательством порядке</w:t>
      </w:r>
      <w:r w:rsidRPr="00060588">
        <w:rPr>
          <w:rFonts w:ascii="Times New Roman" w:hAnsi="Times New Roman" w:cs="Times New Roman"/>
          <w:sz w:val="24"/>
          <w:szCs w:val="24"/>
        </w:rPr>
        <w:t xml:space="preserve">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>102,7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Акцизы по подакцизным товарам, производимые на территории Российской Федерации, в структуре налоговых и неналоговых доходов составили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11,3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Поступления акцизов увеличены к АППГ на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>619,9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>4 027,8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101,9%.</w:t>
      </w:r>
    </w:p>
    <w:p w:rsidR="00EC2AEB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поступлений налога на имущество физических лиц составил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21,5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Всего поступило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>7 675,6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>1 328,9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>выше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уровня прошлого года. Удельный вес налога в структуре собственных доходов составил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21,5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Годовой план исполнен на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106,7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Удельный вес сельскохозяйственного налога в структуре собственных доходов составил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1,2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всего поступило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439,8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Поступления ЕСХН к уровню предыдущего года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уменьшен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804,0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или в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35,4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годовой план исполнен на 100%.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>Структура неналоговых доходов сформирована в основном за счет двух доходных источников: доходов от использования муниципального имущества и доходов от продажи материальных и нематериальных активов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, штрафных санкций и прочих неналоговых доходов.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арендной платы составили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497,6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60,4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выше уровня АППГ.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317D75">
        <w:rPr>
          <w:rFonts w:ascii="Times New Roman" w:hAnsi="Times New Roman" w:cs="Times New Roman"/>
          <w:spacing w:val="-4"/>
          <w:sz w:val="24"/>
          <w:szCs w:val="24"/>
        </w:rPr>
        <w:t>104,1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Удельный вес налога в структуре собственных доходов составил </w:t>
      </w:r>
      <w:r w:rsidR="00317D75">
        <w:rPr>
          <w:rFonts w:ascii="Times New Roman" w:hAnsi="Times New Roman" w:cs="Times New Roman"/>
          <w:spacing w:val="-4"/>
          <w:sz w:val="24"/>
          <w:szCs w:val="24"/>
        </w:rPr>
        <w:t>1,4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продажи имущества и земельных участков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уменьшены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67,1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к уровню АППГ и оставили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778,1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483408">
        <w:rPr>
          <w:rFonts w:ascii="Times New Roman" w:hAnsi="Times New Roman" w:cs="Times New Roman"/>
          <w:spacing w:val="-4"/>
          <w:sz w:val="24"/>
          <w:szCs w:val="24"/>
        </w:rPr>
        <w:t>100,0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Штрафные санкции поступили в бюджет поселения в размере </w:t>
      </w:r>
      <w:r w:rsidR="00483408">
        <w:rPr>
          <w:rFonts w:ascii="Times New Roman" w:hAnsi="Times New Roman" w:cs="Times New Roman"/>
          <w:spacing w:val="-4"/>
          <w:sz w:val="24"/>
          <w:szCs w:val="24"/>
        </w:rPr>
        <w:t>234,9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в основном за счет несвоевременного исполнения подрядчиками заключенных муниципальных контрактов. Прочие неналоговые доходы поступили в сумме </w:t>
      </w:r>
      <w:r w:rsidR="00483408">
        <w:rPr>
          <w:rFonts w:ascii="Times New Roman" w:hAnsi="Times New Roman" w:cs="Times New Roman"/>
          <w:spacing w:val="-4"/>
          <w:sz w:val="24"/>
          <w:szCs w:val="24"/>
        </w:rPr>
        <w:t>-1,3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в том числе </w:t>
      </w:r>
      <w:r w:rsidR="00483408">
        <w:rPr>
          <w:rFonts w:ascii="Times New Roman" w:hAnsi="Times New Roman" w:cs="Times New Roman"/>
          <w:spacing w:val="-4"/>
          <w:sz w:val="24"/>
          <w:szCs w:val="24"/>
        </w:rPr>
        <w:t>возврат прочих поступлений за прошлый год.</w:t>
      </w:r>
    </w:p>
    <w:p w:rsidR="00936A50" w:rsidRPr="00060588" w:rsidRDefault="00936A50" w:rsidP="00936A50">
      <w:pPr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Фактически в отчетном периоде </w:t>
      </w:r>
      <w:r w:rsidRPr="0006058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безвозмездные поступления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составили </w:t>
      </w:r>
      <w:r w:rsidR="00483408">
        <w:rPr>
          <w:rFonts w:ascii="Times New Roman" w:hAnsi="Times New Roman" w:cs="Times New Roman"/>
          <w:color w:val="000000"/>
          <w:spacing w:val="6"/>
          <w:sz w:val="24"/>
          <w:szCs w:val="24"/>
        </w:rPr>
        <w:t>28 140,2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> 29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или </w:t>
      </w:r>
      <w:r w:rsidR="00483408">
        <w:rPr>
          <w:rFonts w:ascii="Times New Roman" w:hAnsi="Times New Roman" w:cs="Times New Roman"/>
          <w:color w:val="000000"/>
          <w:spacing w:val="6"/>
          <w:sz w:val="24"/>
          <w:szCs w:val="24"/>
        </w:rPr>
        <w:t>97,8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уточненного прогнозного плана. В том числе от других бюджетов бюджетной системы Российской Федерации поступило </w:t>
      </w:r>
      <w:r w:rsidR="00483408">
        <w:rPr>
          <w:rFonts w:ascii="Times New Roman" w:hAnsi="Times New Roman" w:cs="Times New Roman"/>
          <w:color w:val="000000"/>
          <w:spacing w:val="6"/>
          <w:sz w:val="24"/>
          <w:szCs w:val="24"/>
        </w:rPr>
        <w:t>27 957,8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</w:t>
      </w:r>
      <w:r w:rsidR="00483408">
        <w:rPr>
          <w:rFonts w:ascii="Times New Roman" w:hAnsi="Times New Roman" w:cs="Times New Roman"/>
          <w:color w:val="000000"/>
          <w:spacing w:val="6"/>
          <w:sz w:val="24"/>
          <w:szCs w:val="24"/>
        </w:rPr>
        <w:t>97,8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прогнозных назначений) и прочие безвозмездные поступления </w:t>
      </w:r>
      <w:r w:rsidR="00483408">
        <w:rPr>
          <w:rFonts w:ascii="Times New Roman" w:hAnsi="Times New Roman" w:cs="Times New Roman"/>
          <w:color w:val="000000"/>
          <w:spacing w:val="6"/>
          <w:sz w:val="24"/>
          <w:szCs w:val="24"/>
        </w:rPr>
        <w:t>182,5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(100 процентов).</w:t>
      </w:r>
    </w:p>
    <w:p w:rsidR="00936A50" w:rsidRPr="00D64B82" w:rsidRDefault="00936A50" w:rsidP="00D64B82">
      <w:pPr>
        <w:ind w:firstLine="567"/>
        <w:jc w:val="right"/>
        <w:rPr>
          <w:rFonts w:ascii="Times New Roman" w:hAnsi="Times New Roman" w:cs="Times New Roman"/>
          <w:color w:val="000000"/>
          <w:spacing w:val="6"/>
        </w:rPr>
      </w:pP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Исполнение безвозмездных поступлений в 202</w:t>
      </w:r>
      <w:r w:rsidR="00483408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году в сравнении с 202</w:t>
      </w:r>
      <w:r w:rsidR="00483408">
        <w:rPr>
          <w:rFonts w:ascii="Times New Roman" w:hAnsi="Times New Roman" w:cs="Times New Roman"/>
          <w:color w:val="000000"/>
          <w:spacing w:val="6"/>
          <w:sz w:val="24"/>
          <w:szCs w:val="24"/>
        </w:rPr>
        <w:t>1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 w:rsidR="00D64B8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                                  </w:t>
      </w:r>
      <w:r w:rsidRPr="00D64B82">
        <w:rPr>
          <w:rFonts w:ascii="Times New Roman" w:hAnsi="Times New Roman" w:cs="Times New Roman"/>
          <w:color w:val="000000"/>
          <w:spacing w:val="6"/>
        </w:rPr>
        <w:t>(</w:t>
      </w:r>
      <w:r w:rsidR="00D64B82" w:rsidRPr="00D64B82">
        <w:rPr>
          <w:rFonts w:ascii="Times New Roman" w:hAnsi="Times New Roman" w:cs="Times New Roman"/>
          <w:color w:val="000000"/>
          <w:spacing w:val="6"/>
        </w:rPr>
        <w:t>тыс.</w:t>
      </w:r>
      <w:r w:rsidRPr="00D64B82">
        <w:rPr>
          <w:rFonts w:ascii="Times New Roman" w:hAnsi="Times New Roman" w:cs="Times New Roman"/>
          <w:color w:val="000000"/>
          <w:spacing w:val="6"/>
        </w:rPr>
        <w:t>руб.)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417"/>
        <w:gridCol w:w="1276"/>
        <w:gridCol w:w="1198"/>
        <w:gridCol w:w="1159"/>
      </w:tblGrid>
      <w:tr w:rsidR="00936A50" w:rsidRPr="00D64B82" w:rsidTr="00D64B82">
        <w:trPr>
          <w:trHeight w:val="20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 xml:space="preserve">     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483408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Исполнено за 202</w:t>
            </w:r>
            <w:r w:rsidR="00483408">
              <w:rPr>
                <w:rFonts w:ascii="Times New Roman" w:hAnsi="Times New Roman" w:cs="Times New Roman"/>
              </w:rPr>
              <w:t>1</w:t>
            </w:r>
            <w:r w:rsidRPr="00D64B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483408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202</w:t>
            </w:r>
            <w:r w:rsidR="00483408">
              <w:rPr>
                <w:rFonts w:ascii="Times New Roman" w:hAnsi="Times New Roman" w:cs="Times New Roman"/>
              </w:rPr>
              <w:t>2</w:t>
            </w:r>
            <w:r w:rsidRPr="00D64B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Темп роста,</w:t>
            </w:r>
          </w:p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%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ind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D64B82">
              <w:rPr>
                <w:rFonts w:ascii="Times New Roman" w:hAnsi="Times New Roman" w:cs="Times New Roman"/>
              </w:rPr>
              <w:t>плана, %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  <w:bCs/>
              </w:rPr>
            </w:pPr>
            <w:r w:rsidRPr="00D64B82">
              <w:rPr>
                <w:rFonts w:ascii="Times New Roman" w:hAnsi="Times New Roman" w:cs="Times New Roman"/>
                <w:bCs/>
              </w:rPr>
              <w:t>Безвозмездные поступления,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483408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216 206,29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28 774,9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28 140,2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64B82">
              <w:rPr>
                <w:rFonts w:ascii="Times New Roman" w:hAnsi="Times New Roman" w:cs="Times New Roman"/>
                <w:bCs/>
                <w:i/>
                <w:iCs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lastRenderedPageBreak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205 007,61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28 592,2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27 957,6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11 198,47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1B1B19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</w:tbl>
    <w:p w:rsidR="00D64B82" w:rsidRPr="00060588" w:rsidRDefault="00D64B82" w:rsidP="00D64B82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6058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Безвозмездные поступления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составили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28 140,2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 или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97,8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уточненного плана. По сравнению с АППГ объем безвозмездных поступлений за 202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уменьш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ился на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188 066,1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 (свыше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13 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%), в том числе: объем субсидий из областного бюджета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снижен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177 050,1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 и составил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27 957,6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 руб., в том числе: ремонт автомобильных дорог –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17 229,4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 формирование современной городской среды –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3 905,1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тыс. руб.,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оснащение объектов спортивной инфраструктуры спортивным технологическим оборудованием в п. Навля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–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2 597,4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подготовка объектов жилищно-коммунального хозяйства к зиме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-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4 000,0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увековечение памяти погибщих при защите Отечества на 2019-2024 гг – 225,7 тыс. руб.,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 также прочие безвозмездные поступления –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182,5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  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Уменьшение п</w:t>
      </w:r>
      <w:r w:rsidRPr="000C4CDE">
        <w:rPr>
          <w:rFonts w:ascii="Times New Roman" w:hAnsi="Times New Roman" w:cs="Times New Roman"/>
          <w:sz w:val="24"/>
          <w:szCs w:val="24"/>
        </w:rPr>
        <w:t xml:space="preserve">оступлений из областного бюджета связано со снижением поступления субсидий по муниципальным программам: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субсидия на софинансирование ГП «Формирование современной городской среды» уменьшилась на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52,8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субсидия на софинансирование автомобильных дорог  увеличилась на 4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455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,6 тыс.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руб., субсидия на софинансирование объектов спортивной инфраструктуры спортивно-технологическим оборудованием увеличилась на 2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597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,4 тыс.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руб., субсидия на софинансирование ГП «Увековечивание памяти погибших при защите Отечества на 2019-2024 годы»  увеличилась на 225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,7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субсидия на софинансирование по  ГП «Подготовка объектов жилищно-коммунального хозяйства к зиме» увеличилась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4 000,0 тыс.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руб., субсидия на софинансирование капитальных вложений (строительство очистных сооружений) уменьшил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ась на 83 133,1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субсидия на софинансирование капитальных вложений в рамках развития транспортной инфраструктуры на сельских территориях уменьши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лась на 105 142,8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а также прочие безвозмездные поступления (в т.ч. доля населения по городской среде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увеличилась на 173,1 тыс.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внебюджетные средства на строительства автодороги ООО АХ «Добронравов АГРО»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уменьшилась на 11 189,1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руб.) уменьшились на 11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 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016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,0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>Объем субвенций составил 200 руб. или 100 процентов уточненного годового плана и направлен на определения перечня должностных лиц органов местного самоуправления, уполномоченного составлять протоколы об административных правонарушениях.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Субсидии из областного бюджета в бюджет поселения направлен на: 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осуществление дорожной деятельности в отношении автомобильных дорог общего пользования были перечислены в сумме </w:t>
      </w:r>
      <w:r>
        <w:rPr>
          <w:rFonts w:ascii="Times New Roman" w:hAnsi="Times New Roman" w:cs="Times New Roman"/>
          <w:sz w:val="24"/>
          <w:szCs w:val="24"/>
        </w:rPr>
        <w:t>17 229,4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руб., что составляет 96,5 процента годовых плановых назначений; 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софинансирование муниципальной программы по формированию современной городской среды в сумме </w:t>
      </w:r>
      <w:r>
        <w:rPr>
          <w:rFonts w:ascii="Times New Roman" w:hAnsi="Times New Roman" w:cs="Times New Roman"/>
          <w:sz w:val="24"/>
          <w:szCs w:val="24"/>
        </w:rPr>
        <w:t xml:space="preserve">3 905,1 тыс. 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(100 процентов годовых плановых назначений);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софинансирование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ГП «Подготовка объектов жилищно-коммунального хозяйства к зиме»</w:t>
      </w:r>
      <w:r w:rsidRPr="000C4CDE">
        <w:rPr>
          <w:rFonts w:ascii="Times New Roman" w:hAnsi="Times New Roman" w:cs="Times New Roman"/>
          <w:sz w:val="24"/>
          <w:szCs w:val="24"/>
        </w:rPr>
        <w:t xml:space="preserve"> в сумме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4CD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(100,0 процентов </w:t>
      </w:r>
      <w:bookmarkStart w:id="2" w:name="_Hlk35589598"/>
      <w:r w:rsidRPr="000C4CDE">
        <w:rPr>
          <w:rFonts w:ascii="Times New Roman" w:hAnsi="Times New Roman" w:cs="Times New Roman"/>
          <w:sz w:val="24"/>
          <w:szCs w:val="24"/>
        </w:rPr>
        <w:t>годовых плановых назначений</w:t>
      </w:r>
      <w:bookmarkEnd w:id="2"/>
      <w:r w:rsidRPr="000C4CDE">
        <w:rPr>
          <w:rFonts w:ascii="Times New Roman" w:hAnsi="Times New Roman" w:cs="Times New Roman"/>
          <w:sz w:val="24"/>
          <w:szCs w:val="24"/>
        </w:rPr>
        <w:t>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lastRenderedPageBreak/>
        <w:t xml:space="preserve">- софинансирование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объектов спортивной инфраструктуры спортивно-технологическим 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 в сумме 2 597,4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(100,0 процентов годовых плановых назначений);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>- софинансирование ФЦП «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Увековечивание памяти погибших при защите Отечества на 2019-2024 годы</w:t>
      </w:r>
      <w:r w:rsidRPr="000C4C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сумме 225,7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(100,0 процентов годовых плановых назначений);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прочие безвозмездные поступления (в т.ч.: доля населения по городской среде – </w:t>
      </w:r>
      <w:r>
        <w:rPr>
          <w:rFonts w:ascii="Times New Roman" w:hAnsi="Times New Roman" w:cs="Times New Roman"/>
          <w:sz w:val="24"/>
          <w:szCs w:val="24"/>
        </w:rPr>
        <w:t>182,5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руб.) в сумме </w:t>
      </w:r>
      <w:r>
        <w:rPr>
          <w:rFonts w:ascii="Times New Roman" w:hAnsi="Times New Roman" w:cs="Times New Roman"/>
          <w:sz w:val="24"/>
          <w:szCs w:val="24"/>
        </w:rPr>
        <w:t>182,5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руб., 100 процентов годовых плановых назначений.</w:t>
      </w:r>
    </w:p>
    <w:p w:rsidR="00122938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Анализ исполнения бюджета по расходам.</w:t>
      </w:r>
    </w:p>
    <w:p w:rsidR="00AE430B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38A" w:rsidRPr="00060588" w:rsidRDefault="00AE430B" w:rsidP="005123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>Расходная часть</w:t>
      </w:r>
      <w:r w:rsidR="00122938" w:rsidRPr="00060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>бюджета посел</w:t>
      </w:r>
      <w:r w:rsidR="001472FF" w:rsidRPr="00060588">
        <w:rPr>
          <w:rFonts w:ascii="Times New Roman" w:eastAsia="Times New Roman" w:hAnsi="Times New Roman" w:cs="Times New Roman"/>
          <w:bCs/>
          <w:sz w:val="24"/>
          <w:szCs w:val="24"/>
        </w:rPr>
        <w:t>ения за 20</w:t>
      </w:r>
      <w:r w:rsidR="003B10E2" w:rsidRPr="000605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C4CD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исполнена в сумме </w:t>
      </w:r>
      <w:r w:rsidR="001649BC">
        <w:rPr>
          <w:rFonts w:ascii="Times New Roman" w:hAnsi="Times New Roman" w:cs="Times New Roman"/>
          <w:sz w:val="24"/>
          <w:szCs w:val="24"/>
        </w:rPr>
        <w:t>64 333,9</w:t>
      </w:r>
      <w:r w:rsidR="001649BC" w:rsidRPr="00DE45BE">
        <w:t xml:space="preserve"> </w:t>
      </w:r>
      <w:r w:rsidR="00D64B82" w:rsidRPr="00060588">
        <w:rPr>
          <w:rFonts w:ascii="Times New Roman" w:eastAsia="Times New Roman" w:hAnsi="Times New Roman" w:cs="Times New Roman"/>
          <w:bCs/>
          <w:sz w:val="24"/>
          <w:szCs w:val="24"/>
        </w:rPr>
        <w:t>тыс.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или на </w:t>
      </w:r>
      <w:r w:rsidR="00200D94">
        <w:rPr>
          <w:rFonts w:ascii="Times New Roman" w:eastAsia="Times New Roman" w:hAnsi="Times New Roman" w:cs="Times New Roman"/>
          <w:bCs/>
          <w:sz w:val="24"/>
          <w:szCs w:val="24"/>
        </w:rPr>
        <w:t>75,7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 % уточненного плана. </w:t>
      </w:r>
      <w:r w:rsidR="0051238A" w:rsidRPr="00060588">
        <w:rPr>
          <w:rFonts w:ascii="Times New Roman" w:hAnsi="Times New Roman" w:cs="Times New Roman"/>
          <w:sz w:val="24"/>
          <w:szCs w:val="24"/>
        </w:rPr>
        <w:t>К уровню 202</w:t>
      </w:r>
      <w:r w:rsidR="000C4CDE">
        <w:rPr>
          <w:rFonts w:ascii="Times New Roman" w:hAnsi="Times New Roman" w:cs="Times New Roman"/>
          <w:sz w:val="24"/>
          <w:szCs w:val="24"/>
        </w:rPr>
        <w:t>1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 года расходы </w:t>
      </w:r>
      <w:r w:rsidR="00200D94">
        <w:rPr>
          <w:rFonts w:ascii="Times New Roman" w:hAnsi="Times New Roman" w:cs="Times New Roman"/>
          <w:sz w:val="24"/>
          <w:szCs w:val="24"/>
        </w:rPr>
        <w:t>уменьш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200D94" w:rsidRPr="00200D94">
        <w:rPr>
          <w:rFonts w:ascii="Times New Roman" w:hAnsi="Times New Roman" w:cs="Times New Roman"/>
          <w:sz w:val="24"/>
          <w:szCs w:val="24"/>
        </w:rPr>
        <w:t>210 387</w:t>
      </w:r>
      <w:r w:rsidR="00200D94" w:rsidRPr="00DE45BE">
        <w:t>,</w:t>
      </w:r>
      <w:r w:rsidR="00200D94">
        <w:t xml:space="preserve">2 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200D94">
        <w:rPr>
          <w:rFonts w:ascii="Times New Roman" w:hAnsi="Times New Roman" w:cs="Times New Roman"/>
          <w:sz w:val="24"/>
          <w:szCs w:val="24"/>
        </w:rPr>
        <w:t>24,7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 процентов. </w:t>
      </w:r>
    </w:p>
    <w:p w:rsidR="00122938" w:rsidRPr="00967073" w:rsidRDefault="00AE430B" w:rsidP="00967073">
      <w:pPr>
        <w:pStyle w:val="af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исполнения расходной части бюджета сельского поселения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br/>
        <w:t>в разрезе разделов, под</w:t>
      </w:r>
      <w:r w:rsidR="00967073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разделов классификации расходов      </w:t>
      </w:r>
      <w:r w:rsidR="0096707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</w:t>
      </w:r>
      <w:r w:rsidR="00122938" w:rsidRPr="00967073">
        <w:rPr>
          <w:rFonts w:ascii="Times New Roman" w:eastAsia="Times New Roman" w:hAnsi="Times New Roman" w:cs="Times New Roman"/>
          <w:sz w:val="18"/>
          <w:szCs w:val="18"/>
        </w:rPr>
        <w:t>(тыс. рублей)</w:t>
      </w:r>
    </w:p>
    <w:tbl>
      <w:tblPr>
        <w:tblW w:w="1020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234"/>
        <w:gridCol w:w="1276"/>
        <w:gridCol w:w="1275"/>
        <w:gridCol w:w="1238"/>
        <w:gridCol w:w="851"/>
        <w:gridCol w:w="850"/>
        <w:gridCol w:w="992"/>
      </w:tblGrid>
      <w:tr w:rsidR="0051238A" w:rsidRPr="0051238A" w:rsidTr="00E92394">
        <w:trPr>
          <w:trHeight w:val="20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200D94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Исполнено за 202</w:t>
            </w:r>
            <w:r w:rsidR="00200D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200D94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202</w:t>
            </w:r>
            <w:r w:rsidR="00200D94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200D94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Темп роста 202</w:t>
            </w:r>
            <w:r w:rsidR="00200D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202</w:t>
            </w:r>
            <w:r w:rsidR="00200D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51238A" w:rsidRPr="0051238A" w:rsidTr="00E92394">
        <w:trPr>
          <w:trHeight w:val="20"/>
        </w:trPr>
        <w:tc>
          <w:tcPr>
            <w:tcW w:w="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Уточненный план 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Факт исполнения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Исполнение,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238A" w:rsidRPr="0051238A" w:rsidRDefault="0051238A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Структура за 202</w:t>
            </w:r>
            <w:r w:rsidR="00200D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569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 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915,9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79,1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 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65,4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138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 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544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34 542,4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28 613,67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20,7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115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 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278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 6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39 296,3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25 969,4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22,5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33,3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 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939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 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5 263,2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4 786,3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90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96,9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395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 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404,97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102,2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D94" w:rsidRPr="0051238A" w:rsidRDefault="00200D94" w:rsidP="00200D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,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 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3 730,1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3 688,88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Св. 100</w:t>
            </w:r>
          </w:p>
        </w:tc>
      </w:tr>
      <w:tr w:rsidR="00200D94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260</w:t>
            </w: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 </w:t>
            </w:r>
            <w:r w:rsidRPr="0051238A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604</w:t>
            </w: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,</w:t>
            </w:r>
            <w:r w:rsidRPr="0051238A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 1</w:t>
            </w: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85 022,8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64 333,9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75,7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D94" w:rsidRPr="0051238A" w:rsidRDefault="00200D94" w:rsidP="00200D94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24,7</w:t>
            </w:r>
          </w:p>
        </w:tc>
      </w:tr>
    </w:tbl>
    <w:p w:rsidR="003F3124" w:rsidRPr="003F3124" w:rsidRDefault="003F3124" w:rsidP="00365676">
      <w:pPr>
        <w:spacing w:before="240"/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В целом, расходы бюджета в отчетном периоде составили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64 333,9 тыс.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руб., что соответствует 75,7 процентов уточненного годового плана. По сравнению с аналогичным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периодом прошлого года расходы уменьшились на </w:t>
      </w:r>
      <w:r>
        <w:rPr>
          <w:rFonts w:ascii="Times New Roman" w:hAnsi="Times New Roman" w:cs="Times New Roman"/>
          <w:color w:val="000000"/>
          <w:sz w:val="24"/>
          <w:szCs w:val="24"/>
        </w:rPr>
        <w:t>196 270,3 тыс.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 или на 24,7 процентов.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>Из представленных 8-ми разделов ниже уровня предшествующего периода сложились расходы по разделу «Национальная экономика» и «Жилищно-коммунальное хозяйство».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объемов расходов по разделу 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«Национальная экономика»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«Жилищно-коммунальное хозяйство»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связано с отсутствием расходов на капитальные вложения в рамках развития транспортной инфраструктуры на сельских территориях и на строительство очистных сооружений в п. Навля (1-й этап) (данные работы завершены в 2021г).</w:t>
      </w:r>
    </w:p>
    <w:p w:rsidR="003F3124" w:rsidRPr="003F3124" w:rsidRDefault="003F3124" w:rsidP="00365676">
      <w:pPr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Значительный рост расходов бюджета поселения в сравнении с уровнем предыдущего года отмечается по следующим разделам: </w:t>
      </w:r>
      <w:r w:rsidRPr="003F3124">
        <w:rPr>
          <w:rFonts w:ascii="Times New Roman" w:hAnsi="Times New Roman" w:cs="Times New Roman"/>
          <w:i/>
          <w:iCs/>
          <w:sz w:val="24"/>
          <w:szCs w:val="24"/>
        </w:rPr>
        <w:t>«Социальная политика»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– 102,2 процента, 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«Физическая культура и спорт» -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свыше 100 процентов.</w:t>
      </w:r>
    </w:p>
    <w:p w:rsidR="003F3124" w:rsidRPr="003F3124" w:rsidRDefault="003F3124" w:rsidP="00365676">
      <w:pPr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>Наибольший удельный вес в структуре расходов заняли расходы по разделам: «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Жилищно-коммунальное хозяйство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» - 40,4 процента, «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Национальная экономика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» - 44,5 процентов. Остальные разделы имеют удельный вес менее 10 процентов.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недопущению несанкционированных расходов главными распорядителями средств и бюджетными учреждениями, пересмотр ранее заключенных договорных обязательств.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Для обеспечения выполнения полномочий по бюджету поселения проведено 65 электронных аукционов для муниципальных нужд, на общую сумму </w:t>
      </w:r>
      <w:r>
        <w:rPr>
          <w:rFonts w:ascii="Times New Roman" w:hAnsi="Times New Roman" w:cs="Times New Roman"/>
          <w:sz w:val="24"/>
          <w:szCs w:val="24"/>
        </w:rPr>
        <w:t>60 311,4 тыс.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 По результатам размещенных заказов заключено 53 муниципальных контрактов на сумму </w:t>
      </w:r>
      <w:r>
        <w:rPr>
          <w:rFonts w:ascii="Times New Roman" w:hAnsi="Times New Roman" w:cs="Times New Roman"/>
          <w:sz w:val="24"/>
          <w:szCs w:val="24"/>
        </w:rPr>
        <w:t xml:space="preserve">49 994,1 тыс. 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руб., экономия бюджетных средств составила </w:t>
      </w:r>
      <w:r>
        <w:rPr>
          <w:rFonts w:ascii="Times New Roman" w:hAnsi="Times New Roman" w:cs="Times New Roman"/>
          <w:sz w:val="24"/>
          <w:szCs w:val="24"/>
        </w:rPr>
        <w:t xml:space="preserve">10 317,4 тыс. 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>По разделу функциональной классификации структура в общем объеме расходов составила: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вопросы» - 0,7 процент, </w:t>
      </w:r>
      <w:bookmarkStart w:id="3" w:name="_Hlk35955663"/>
      <w:r w:rsidRPr="003F3124">
        <w:rPr>
          <w:rFonts w:ascii="Times New Roman" w:hAnsi="Times New Roman" w:cs="Times New Roman"/>
          <w:sz w:val="24"/>
          <w:szCs w:val="24"/>
        </w:rPr>
        <w:t xml:space="preserve">или на 0,5 процента больше АППГ; </w:t>
      </w:r>
      <w:bookmarkEnd w:id="3"/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- 0,4 процента, или на 0,2 процента больше АППГ;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«Национальная экономика» - 44,5 процента, или на 8,7 процентов уровня прошлого года;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>«Жилищно-коммунальное хозяйство» - 40,4 процента, что на 3,8 процентов меньше уровня 2021 года;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>«Охрана окружающей среды» - 0,2 процента, на уровне АППГ;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«Культура и кинематография» - 7,4 процента, что на 5,5 процентов больше по сравнению с 2021 годом;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>«Социальная политика» - 0,6 процент, что на 0,4 процента больше по сравнению с уровнем 2021 года;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lastRenderedPageBreak/>
        <w:t>«Физическая культура и спорт» – 5,7 процентов или на 5,7 процентов больше по сравнению с АППГ.</w:t>
      </w:r>
    </w:p>
    <w:p w:rsidR="003F3124" w:rsidRDefault="003F3124" w:rsidP="003F3124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 Расходы бюджета по разделу </w:t>
      </w:r>
      <w:r w:rsidRPr="003F3124">
        <w:rPr>
          <w:rFonts w:ascii="Times New Roman" w:hAnsi="Times New Roman" w:cs="Times New Roman"/>
          <w:i/>
          <w:sz w:val="24"/>
          <w:szCs w:val="24"/>
        </w:rPr>
        <w:t>«Общегосударственные вопросы»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плановые назначения исполнены на 49,2 процента и составили </w:t>
      </w:r>
      <w:r w:rsidR="002A3B87">
        <w:rPr>
          <w:rFonts w:ascii="Times New Roman" w:hAnsi="Times New Roman" w:cs="Times New Roman"/>
          <w:sz w:val="24"/>
          <w:szCs w:val="24"/>
        </w:rPr>
        <w:t>450,5 тыс.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руб., что на </w:t>
      </w:r>
      <w:r w:rsidR="002A3B87">
        <w:rPr>
          <w:rFonts w:ascii="Times New Roman" w:hAnsi="Times New Roman" w:cs="Times New Roman"/>
          <w:sz w:val="24"/>
          <w:szCs w:val="24"/>
        </w:rPr>
        <w:t>118,8 тыс.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 меньше прошлогоднего показателя.</w:t>
      </w:r>
    </w:p>
    <w:p w:rsidR="002A3B87" w:rsidRPr="002A3B87" w:rsidRDefault="002A3B87" w:rsidP="002A3B87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2A3B87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данному разделу и подразделам классификации расходов за 2022 год представлено в таблице:</w:t>
      </w:r>
    </w:p>
    <w:p w:rsidR="002A3B87" w:rsidRPr="003F3124" w:rsidRDefault="002A3B87" w:rsidP="003F3124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709"/>
        <w:gridCol w:w="567"/>
        <w:gridCol w:w="747"/>
        <w:gridCol w:w="954"/>
      </w:tblGrid>
      <w:tr w:rsidR="00307764" w:rsidRPr="00307764" w:rsidTr="003C28AD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64" w:rsidRPr="00307764" w:rsidRDefault="00307764" w:rsidP="002A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 за 202</w:t>
            </w:r>
            <w:r w:rsidR="002A3B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2A3B87">
            <w:pPr>
              <w:spacing w:after="0" w:line="240" w:lineRule="auto"/>
              <w:ind w:hanging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Уточненный план на 202</w:t>
            </w:r>
            <w:r w:rsidR="002A3B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7764" w:rsidRPr="00307764" w:rsidRDefault="00307764" w:rsidP="002A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Кассовое исполнение за 202</w:t>
            </w:r>
            <w:r w:rsidR="002A3B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307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Структура расходов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исполнения к уточненному плану </w:t>
            </w:r>
          </w:p>
        </w:tc>
      </w:tr>
      <w:tr w:rsidR="00307764" w:rsidRPr="00307764" w:rsidTr="003C28AD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план (гр.3)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отчет (гр.4)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7764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A3B87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87" w:rsidRPr="002A3B87" w:rsidRDefault="002A3B87" w:rsidP="002A3B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B87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915,92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450,52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-118,8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49,2</w:t>
            </w:r>
          </w:p>
        </w:tc>
      </w:tr>
      <w:tr w:rsidR="002A3B87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87" w:rsidRPr="002A3B87" w:rsidRDefault="002A3B87" w:rsidP="002A3B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  <w:highlight w:val="yellow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t>0,2</w:t>
            </w:r>
          </w:p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100,0</w:t>
            </w:r>
          </w:p>
        </w:tc>
      </w:tr>
      <w:tr w:rsidR="002A3B87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87" w:rsidRPr="002A3B87" w:rsidRDefault="002A3B87" w:rsidP="002A3B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- 3,4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A3B87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B87" w:rsidRPr="002A3B87" w:rsidRDefault="002A3B87" w:rsidP="002A3B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" w:name="_Hlk35962710"/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Другие общегосударственные вопросы</w:t>
            </w:r>
            <w:bookmarkEnd w:id="4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-115,3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</w:tr>
      <w:tr w:rsidR="002A3B87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B87" w:rsidRPr="002A3B87" w:rsidRDefault="002A3B87" w:rsidP="002A3B8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B87" w:rsidRPr="00307764" w:rsidRDefault="002A3B87" w:rsidP="002A3B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Согласно данным, представленным в таблице, исполнение 100,0 процентов составило по подразделу 0104 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95DD4">
        <w:rPr>
          <w:rFonts w:ascii="Times New Roman" w:hAnsi="Times New Roman" w:cs="Times New Roman"/>
          <w:sz w:val="24"/>
          <w:szCs w:val="24"/>
        </w:rPr>
        <w:t>и 0106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Обеспечение деятельности финансовых, налоговых и таможенных органов, и органов финансового (финансово-бюджетного) надзора</w:t>
      </w:r>
      <w:r w:rsidRPr="00C95DD4">
        <w:rPr>
          <w:rFonts w:ascii="Times New Roman" w:hAnsi="Times New Roman" w:cs="Times New Roman"/>
          <w:sz w:val="24"/>
          <w:szCs w:val="24"/>
        </w:rPr>
        <w:t>».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данному подразделу отражены расходы на: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lastRenderedPageBreak/>
        <w:t>- определение перечня лиц органов местного самоуправления, уполномоченных составлять протоколы об административных правонарушениях в сумме 200 руб. (100 процентов к АППГ);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в сумме 153 829,00 руб. Расходы </w:t>
      </w:r>
      <w:r>
        <w:rPr>
          <w:rFonts w:ascii="Times New Roman" w:hAnsi="Times New Roman" w:cs="Times New Roman"/>
          <w:sz w:val="24"/>
          <w:szCs w:val="24"/>
        </w:rPr>
        <w:t xml:space="preserve">сокращены на 3,4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97,8 процентов АППГ.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подразделу 0113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Другие общегосударственные вопросы</w:t>
      </w:r>
      <w:r w:rsidRPr="00C95DD4">
        <w:rPr>
          <w:rFonts w:ascii="Times New Roman" w:hAnsi="Times New Roman" w:cs="Times New Roman"/>
          <w:sz w:val="24"/>
          <w:szCs w:val="24"/>
        </w:rPr>
        <w:t xml:space="preserve">» исполнение составило </w:t>
      </w:r>
      <w:r>
        <w:rPr>
          <w:rFonts w:ascii="Times New Roman" w:hAnsi="Times New Roman" w:cs="Times New Roman"/>
          <w:sz w:val="24"/>
          <w:szCs w:val="24"/>
        </w:rPr>
        <w:t>296,5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81,9 процентов исполнения к уточненному плану. По сравнению с АППГ расходы уменьшены на </w:t>
      </w:r>
      <w:r>
        <w:rPr>
          <w:rFonts w:ascii="Times New Roman" w:hAnsi="Times New Roman" w:cs="Times New Roman"/>
          <w:sz w:val="24"/>
          <w:szCs w:val="24"/>
        </w:rPr>
        <w:t xml:space="preserve">115,3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или 72,0 процента по сравнению с АППГ.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данному разделу отражены расходы: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- уплата членских взносов в Ассоциацию Совета муниципальных образований в сумме 11</w:t>
      </w:r>
      <w:r>
        <w:rPr>
          <w:rFonts w:ascii="Times New Roman" w:hAnsi="Times New Roman" w:cs="Times New Roman"/>
          <w:sz w:val="24"/>
          <w:szCs w:val="24"/>
        </w:rPr>
        <w:t xml:space="preserve">,0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(110 процентов к АППГ);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оценка имущества, признание прав и регулирование отношений муниципальной собственности – </w:t>
      </w:r>
      <w:r>
        <w:rPr>
          <w:rFonts w:ascii="Times New Roman" w:hAnsi="Times New Roman" w:cs="Times New Roman"/>
          <w:sz w:val="24"/>
          <w:szCs w:val="24"/>
        </w:rPr>
        <w:t>156,2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(62,1 процент к АППГ);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эксплуатация и содержание имущества казны муниципального образования по оплате коммунальных услуг муниципального жилья в МКД в сумме </w:t>
      </w:r>
      <w:r>
        <w:rPr>
          <w:rFonts w:ascii="Times New Roman" w:hAnsi="Times New Roman" w:cs="Times New Roman"/>
          <w:sz w:val="24"/>
          <w:szCs w:val="24"/>
        </w:rPr>
        <w:t>50,9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(51,3% к АППГ);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информационное обеспечение деятельности органов местного самоуправления – </w:t>
      </w:r>
      <w:r w:rsidR="000E56BC">
        <w:rPr>
          <w:rFonts w:ascii="Times New Roman" w:hAnsi="Times New Roman" w:cs="Times New Roman"/>
          <w:sz w:val="24"/>
          <w:szCs w:val="24"/>
        </w:rPr>
        <w:t xml:space="preserve">78,4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(153,0%), (в т. ч.: публикация материалов в газете «Наше время» в сумме </w:t>
      </w:r>
      <w:r w:rsidR="000E56BC">
        <w:rPr>
          <w:rFonts w:ascii="Times New Roman" w:hAnsi="Times New Roman" w:cs="Times New Roman"/>
          <w:sz w:val="24"/>
          <w:szCs w:val="24"/>
        </w:rPr>
        <w:t xml:space="preserve">64,2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публикация информационного бюллетеня в сумме </w:t>
      </w:r>
      <w:r w:rsidR="000E56BC">
        <w:rPr>
          <w:rFonts w:ascii="Times New Roman" w:hAnsi="Times New Roman" w:cs="Times New Roman"/>
          <w:sz w:val="24"/>
          <w:szCs w:val="24"/>
        </w:rPr>
        <w:t xml:space="preserve">14,2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руб.);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Средств из резервного фонда в 2022 году не выделялось.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95DD4">
        <w:rPr>
          <w:rFonts w:ascii="Times New Roman" w:hAnsi="Times New Roman" w:cs="Times New Roman"/>
          <w:i/>
          <w:sz w:val="24"/>
          <w:szCs w:val="24"/>
        </w:rPr>
        <w:t>«</w:t>
      </w:r>
      <w:r w:rsidRPr="00C95DD4">
        <w:rPr>
          <w:rFonts w:ascii="Times New Roman" w:hAnsi="Times New Roman" w:cs="Times New Roman"/>
          <w:iCs/>
          <w:sz w:val="24"/>
          <w:szCs w:val="24"/>
        </w:rPr>
        <w:t>НАЦИОНАЛЬНАЯ БЕЗОПАСНОСТЬ И ПРАВООХРАНИТЕЛЬНАЯ ДЕЯТЕЛЬНОСТЬ</w:t>
      </w:r>
      <w:r w:rsidRPr="00C95DD4">
        <w:rPr>
          <w:rFonts w:ascii="Times New Roman" w:hAnsi="Times New Roman" w:cs="Times New Roman"/>
          <w:i/>
          <w:sz w:val="24"/>
          <w:szCs w:val="24"/>
        </w:rPr>
        <w:t>»</w:t>
      </w:r>
      <w:r w:rsidRPr="00C95DD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36110085"/>
      <w:r w:rsidRPr="00C95DD4">
        <w:rPr>
          <w:rFonts w:ascii="Times New Roman" w:hAnsi="Times New Roman" w:cs="Times New Roman"/>
          <w:sz w:val="24"/>
          <w:szCs w:val="24"/>
        </w:rPr>
        <w:t xml:space="preserve">кассовое исполнение составило 261 220,03 руб. или 67,0 процентов к плану. Расходы с АППГ уменьшены на 137 943,97 руб. Доля расходов раздела в объеме расходов бюджета составила 0,4 процента.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данному разделу средства бюджета поселения направлены на мероприятия в сфере пожарной безопасности, произведена опашка минерализованных полос от лесных пожаров в городском поселении.</w:t>
      </w:r>
    </w:p>
    <w:bookmarkEnd w:id="5"/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Расходы по разделу 04 «НАЦИОНАЛЬНАЯ ЭКОНОМИКА» исполнены в объеме </w:t>
      </w:r>
      <w:bookmarkStart w:id="6" w:name="_Hlk66887210"/>
      <w:r w:rsidR="000E56BC">
        <w:rPr>
          <w:rFonts w:ascii="Times New Roman" w:hAnsi="Times New Roman" w:cs="Times New Roman"/>
          <w:sz w:val="24"/>
          <w:szCs w:val="24"/>
        </w:rPr>
        <w:t xml:space="preserve">28 613,7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6"/>
      <w:r w:rsidRPr="00C95DD4">
        <w:rPr>
          <w:rFonts w:ascii="Times New Roman" w:hAnsi="Times New Roman" w:cs="Times New Roman"/>
          <w:sz w:val="24"/>
          <w:szCs w:val="24"/>
        </w:rPr>
        <w:t xml:space="preserve"> или 82,8 процентов к уточненному годовому плану. По сравнению с АППГ расходы по данному разделу уменьшены на </w:t>
      </w:r>
      <w:r w:rsidR="000E56BC">
        <w:rPr>
          <w:rFonts w:ascii="Times New Roman" w:hAnsi="Times New Roman" w:cs="Times New Roman"/>
          <w:sz w:val="24"/>
          <w:szCs w:val="24"/>
        </w:rPr>
        <w:t xml:space="preserve">109 930,7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на 20,7 процентов. Доля расходов раздела в общем объеме расходов бюджета составила 44,5 процентов, что в 4,8 раза ниже показателя прошлого года.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По подразделу 0406 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«Водное хозяйство»</w:t>
      </w:r>
      <w:r w:rsidRPr="00C95DD4">
        <w:rPr>
          <w:rFonts w:ascii="Times New Roman" w:hAnsi="Times New Roman" w:cs="Times New Roman"/>
          <w:sz w:val="24"/>
          <w:szCs w:val="24"/>
        </w:rPr>
        <w:t xml:space="preserve"> кассовые расходы по сравнению с АППГ не исполнены в связи с невыполнением запланированных работ (не представлением документов). По данному подразделу средства бюджета были запланированы на обеспечение безопасности гидротехнических сооружений (страхование).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lastRenderedPageBreak/>
        <w:t>По подразделу 0409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Дорожное хозяйство (дорожные фонды)</w:t>
      </w:r>
      <w:r w:rsidRPr="00C95DD4">
        <w:rPr>
          <w:rFonts w:ascii="Times New Roman" w:hAnsi="Times New Roman" w:cs="Times New Roman"/>
          <w:sz w:val="24"/>
          <w:szCs w:val="24"/>
        </w:rPr>
        <w:t xml:space="preserve">» кассовые расходы составили </w:t>
      </w:r>
      <w:r w:rsidR="000E56BC">
        <w:rPr>
          <w:rFonts w:ascii="Times New Roman" w:hAnsi="Times New Roman" w:cs="Times New Roman"/>
          <w:sz w:val="24"/>
          <w:szCs w:val="24"/>
        </w:rPr>
        <w:t xml:space="preserve">28 437,2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в том числе средства областного бюджета составили </w:t>
      </w:r>
      <w:r w:rsidR="000E56BC">
        <w:rPr>
          <w:rFonts w:ascii="Times New Roman" w:hAnsi="Times New Roman" w:cs="Times New Roman"/>
          <w:sz w:val="24"/>
          <w:szCs w:val="24"/>
        </w:rPr>
        <w:t xml:space="preserve">17 229,4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(в том числе: ремонт и капитальный ремонт автомобильных дорог в п. Навля – </w:t>
      </w:r>
      <w:r w:rsidR="000E56BC">
        <w:rPr>
          <w:rFonts w:ascii="Times New Roman" w:hAnsi="Times New Roman" w:cs="Times New Roman"/>
          <w:sz w:val="24"/>
          <w:szCs w:val="24"/>
        </w:rPr>
        <w:t xml:space="preserve">17 229,4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(96,5% от плана).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данному подразделу отражены расходы на ремонт и содержание автомобильных дорог в Навлинском городском поселении. Расходы исполнены в соответствии с заключенными договорами и муниципальными контрактами.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подразделу 0412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Другие вопросы в области национальной экономики</w:t>
      </w:r>
      <w:r w:rsidRPr="00C95DD4">
        <w:rPr>
          <w:rFonts w:ascii="Times New Roman" w:hAnsi="Times New Roman" w:cs="Times New Roman"/>
          <w:sz w:val="24"/>
          <w:szCs w:val="24"/>
        </w:rPr>
        <w:t xml:space="preserve">» кассовые расходы составили </w:t>
      </w:r>
      <w:r w:rsidR="000E56BC">
        <w:rPr>
          <w:rFonts w:ascii="Times New Roman" w:hAnsi="Times New Roman" w:cs="Times New Roman"/>
          <w:sz w:val="24"/>
          <w:szCs w:val="24"/>
        </w:rPr>
        <w:t xml:space="preserve">176,5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(98,1 процентов уточненного годового плана). По данному подразделу отражены расходы на приобретение программы АИС Технокад-Муниципалитет в сумме </w:t>
      </w:r>
      <w:r w:rsidR="000E56BC">
        <w:rPr>
          <w:rFonts w:ascii="Times New Roman" w:hAnsi="Times New Roman" w:cs="Times New Roman"/>
          <w:sz w:val="24"/>
          <w:szCs w:val="24"/>
        </w:rPr>
        <w:t xml:space="preserve">16,5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 расходы на внесение изменений в генеральный план </w:t>
      </w:r>
      <w:r w:rsidR="000E56BC">
        <w:rPr>
          <w:rFonts w:ascii="Times New Roman" w:hAnsi="Times New Roman" w:cs="Times New Roman"/>
          <w:sz w:val="24"/>
          <w:szCs w:val="24"/>
        </w:rPr>
        <w:t xml:space="preserve">в сумме 160,0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5DD4" w:rsidRPr="00C95DD4" w:rsidRDefault="00C95DD4" w:rsidP="000E56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Расходы по разделу 05 «ЖИЛИЩНО-КОММУНАЛЬНОЕ ХОЗЯЙСТВО» исполнены в объеме </w:t>
      </w:r>
      <w:r w:rsidR="000E56BC">
        <w:rPr>
          <w:rFonts w:ascii="Times New Roman" w:hAnsi="Times New Roman" w:cs="Times New Roman"/>
          <w:sz w:val="24"/>
          <w:szCs w:val="24"/>
        </w:rPr>
        <w:t>25 969,4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66,1 процент к уточненному годовому плану. По сравнению с аналогичным периодом прошлого года расходы по данному разделу уменьшились на </w:t>
      </w:r>
      <w:r w:rsidR="000E56BC">
        <w:rPr>
          <w:rFonts w:ascii="Times New Roman" w:hAnsi="Times New Roman" w:cs="Times New Roman"/>
          <w:sz w:val="24"/>
          <w:szCs w:val="24"/>
        </w:rPr>
        <w:t>89 309,2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на 22,5 процентов. Уменьшение связано в основном за счет сокращения субсидий по областным целевым программам, в том числе на софинансирование капитальных вложений в объекты муниципальной собственности (строительство очистных сооружений, формирование комфортной городской среды). Доля расходов раздела в общем объеме расходов бюджета составила 40,4 процента.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данному разделу и подразделам классификации расходов за 2022 год представлено в таблице:</w:t>
      </w:r>
    </w:p>
    <w:p w:rsidR="00532732" w:rsidRPr="005347FF" w:rsidRDefault="005347FF" w:rsidP="005347FF">
      <w:pPr>
        <w:ind w:firstLine="540"/>
        <w:jc w:val="right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 </w:t>
      </w:r>
      <w:r w:rsidR="00532732" w:rsidRPr="005347FF">
        <w:rPr>
          <w:rFonts w:ascii="Times New Roman" w:hAnsi="Times New Roman" w:cs="Times New Roman"/>
        </w:rPr>
        <w:t>(руб.)</w:t>
      </w: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146"/>
        <w:gridCol w:w="1212"/>
        <w:gridCol w:w="1079"/>
        <w:gridCol w:w="1212"/>
        <w:gridCol w:w="1212"/>
        <w:gridCol w:w="813"/>
        <w:gridCol w:w="812"/>
        <w:gridCol w:w="716"/>
        <w:gridCol w:w="777"/>
      </w:tblGrid>
      <w:tr w:rsidR="00532732" w:rsidRPr="004C3C51" w:rsidTr="001C1C0A">
        <w:trPr>
          <w:trHeight w:val="20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Кассовое исполнение за 2021 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ind w:hanging="15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Уточненный план на 2022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2022 год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Темп роста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Структура расходов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Процент исполнения к уточненному плану 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+/-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план (гр.3)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отчет (гр.4)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115 278,6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39 296,3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25 969,4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-89 309,2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66,1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181,8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-50,9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87,3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824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22 492,4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10 361,8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-92 462,4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46,1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Благоустройство, 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12 272,6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16 653,9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15 476,7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3 204,1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92,9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Организация и обеспечение освещения улиц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5 322,0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6 417,6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5 469,3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85,2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Озеленение территории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1 264,7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1 384,1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1 367,5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98,8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1 412,4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3 574,4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3 362,0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1 949,6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238,0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94,1</w:t>
            </w:r>
          </w:p>
        </w:tc>
      </w:tr>
    </w:tbl>
    <w:p w:rsidR="008178A3" w:rsidRPr="008178A3" w:rsidRDefault="008178A3" w:rsidP="008178A3">
      <w:pPr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0501 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Жилищное хозяйство</w:t>
      </w:r>
      <w:r w:rsidRPr="008178A3">
        <w:rPr>
          <w:rFonts w:ascii="Times New Roman" w:hAnsi="Times New Roman" w:cs="Times New Roman"/>
          <w:sz w:val="24"/>
          <w:szCs w:val="24"/>
        </w:rPr>
        <w:t>» расходы 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130,9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на 87,3 процента к уточненному годовому плану. По данному подразделу отражены расходы на оплату ежемесячных взносов на капитальный ремонт муниципального жилья в МКД в размере 7,50 руб./м2. в сумме </w:t>
      </w:r>
      <w:r>
        <w:rPr>
          <w:rFonts w:ascii="Times New Roman" w:hAnsi="Times New Roman" w:cs="Times New Roman"/>
          <w:sz w:val="24"/>
          <w:szCs w:val="24"/>
        </w:rPr>
        <w:t xml:space="preserve">130,9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(72,0 процента к уровню АППГ).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0502 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Коммунальное хозяйство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расходы исполнены на 46,1 процент в сумме </w:t>
      </w:r>
      <w:r>
        <w:rPr>
          <w:rFonts w:ascii="Times New Roman" w:hAnsi="Times New Roman" w:cs="Times New Roman"/>
          <w:sz w:val="24"/>
          <w:szCs w:val="24"/>
        </w:rPr>
        <w:t>10 361,8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Расходы уменьшены на </w:t>
      </w:r>
      <w:r>
        <w:rPr>
          <w:rFonts w:ascii="Times New Roman" w:hAnsi="Times New Roman" w:cs="Times New Roman"/>
          <w:sz w:val="24"/>
          <w:szCs w:val="24"/>
        </w:rPr>
        <w:t>92 462,4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в основном связано с уменьшением сумм на софинансирование капитальных вложений в объекты муниципальной собственности (строительство очистных сооружений) (10,1 процентов к АППГ). По данному подразделу отражены следующие расходы: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- возмещение недополученных доходов, возникающих при оказании населению услуг общественной бани,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1 128,2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(106,5 процент). </w:t>
      </w:r>
      <w:bookmarkStart w:id="7" w:name="_Hlk98428569"/>
      <w:r w:rsidRPr="008178A3"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>
        <w:rPr>
          <w:rFonts w:ascii="Times New Roman" w:hAnsi="Times New Roman" w:cs="Times New Roman"/>
          <w:sz w:val="24"/>
          <w:szCs w:val="24"/>
        </w:rPr>
        <w:t xml:space="preserve">69,3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</w:t>
      </w:r>
      <w:bookmarkEnd w:id="7"/>
      <w:r w:rsidRPr="008178A3">
        <w:rPr>
          <w:rFonts w:ascii="Times New Roman" w:hAnsi="Times New Roman" w:cs="Times New Roman"/>
          <w:sz w:val="24"/>
          <w:szCs w:val="24"/>
        </w:rPr>
        <w:t>., согласно заявленных документов МУП НМУЖКХ;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- возмещение компенсаций некомпенсируемых финансовых убытков по газовой котельной,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>984,4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(67,7 процентов).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- оплата по исполнительному листу арбитражного суда за потери в муниципальных тепловых сетях в пользу ГУП «Брянсккоммунэнерго», кассовое исполнение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361,3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(100 процентов);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- строительство очистных сооружений в п. Навля за счет средств местного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3 047,5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(82,1% плана);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- подготовка и гос. проверка объектов ЖКХ к зиме – 79</w:t>
      </w:r>
      <w:r>
        <w:rPr>
          <w:rFonts w:ascii="Times New Roman" w:hAnsi="Times New Roman" w:cs="Times New Roman"/>
          <w:sz w:val="24"/>
          <w:szCs w:val="24"/>
        </w:rPr>
        <w:t>,9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(40% плана);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- выполнение работ по капитальному ремонту водопроводных сетей в п. Навля (в т.ч. по ул. Мелиораторов, ул. Орловской, ул. Березин</w:t>
      </w:r>
      <w:r>
        <w:rPr>
          <w:rFonts w:ascii="Times New Roman" w:hAnsi="Times New Roman" w:cs="Times New Roman"/>
          <w:sz w:val="24"/>
          <w:szCs w:val="24"/>
        </w:rPr>
        <w:t>ка, пер. Лесному) – 4 210,5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(100% плана), из них: средства областно</w:t>
      </w:r>
      <w:r>
        <w:rPr>
          <w:rFonts w:ascii="Times New Roman" w:hAnsi="Times New Roman" w:cs="Times New Roman"/>
          <w:sz w:val="24"/>
          <w:szCs w:val="24"/>
        </w:rPr>
        <w:t>го бюджета составили 4 000,0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- выполнение инженерно-геодезических изысканий и подготовку ПСД на строительство газовой котельной – </w:t>
      </w:r>
      <w:r>
        <w:rPr>
          <w:rFonts w:ascii="Times New Roman" w:hAnsi="Times New Roman" w:cs="Times New Roman"/>
          <w:sz w:val="24"/>
          <w:szCs w:val="24"/>
        </w:rPr>
        <w:t>550,0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(78,6% плана).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0503 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Благоустройство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расходы исполнены в сумме </w:t>
      </w:r>
      <w:r>
        <w:rPr>
          <w:rFonts w:ascii="Times New Roman" w:hAnsi="Times New Roman" w:cs="Times New Roman"/>
          <w:sz w:val="24"/>
          <w:szCs w:val="24"/>
        </w:rPr>
        <w:t>15 476,7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на 92,9 процентов к уточненному годовому плану. Расходы увеличены на </w:t>
      </w:r>
      <w:r>
        <w:rPr>
          <w:rFonts w:ascii="Times New Roman" w:hAnsi="Times New Roman" w:cs="Times New Roman"/>
          <w:sz w:val="24"/>
          <w:szCs w:val="24"/>
        </w:rPr>
        <w:t>3 204,1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данному подразделу средства направлены на: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lastRenderedPageBreak/>
        <w:t xml:space="preserve">1. Организацию и обеспечение уличного освещения – </w:t>
      </w:r>
      <w:r>
        <w:rPr>
          <w:rFonts w:ascii="Times New Roman" w:hAnsi="Times New Roman" w:cs="Times New Roman"/>
          <w:sz w:val="24"/>
          <w:szCs w:val="24"/>
        </w:rPr>
        <w:t>5 469,3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1</w:t>
      </w:r>
      <w:r>
        <w:rPr>
          <w:rFonts w:ascii="Times New Roman" w:hAnsi="Times New Roman" w:cs="Times New Roman"/>
          <w:sz w:val="24"/>
          <w:szCs w:val="24"/>
        </w:rPr>
        <w:t xml:space="preserve">47,3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85,2% плана), в том числе: на оплату уличного освещения п. Навля – </w:t>
      </w:r>
      <w:r>
        <w:rPr>
          <w:rFonts w:ascii="Times New Roman" w:hAnsi="Times New Roman" w:cs="Times New Roman"/>
          <w:sz w:val="24"/>
          <w:szCs w:val="24"/>
        </w:rPr>
        <w:t xml:space="preserve">3 449,2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(уменьшение на </w:t>
      </w:r>
      <w:r>
        <w:rPr>
          <w:rFonts w:ascii="Times New Roman" w:hAnsi="Times New Roman" w:cs="Times New Roman"/>
          <w:sz w:val="24"/>
          <w:szCs w:val="24"/>
        </w:rPr>
        <w:t xml:space="preserve">135,1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82,6% плана), техническое обслуживание уличного освещения – </w:t>
      </w:r>
      <w:r>
        <w:rPr>
          <w:rFonts w:ascii="Times New Roman" w:hAnsi="Times New Roman" w:cs="Times New Roman"/>
          <w:sz w:val="24"/>
          <w:szCs w:val="24"/>
        </w:rPr>
        <w:t xml:space="preserve">872,9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1</w:t>
      </w:r>
      <w:r>
        <w:rPr>
          <w:rFonts w:ascii="Times New Roman" w:hAnsi="Times New Roman" w:cs="Times New Roman"/>
          <w:sz w:val="24"/>
          <w:szCs w:val="24"/>
        </w:rPr>
        <w:t xml:space="preserve">10,7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87,3% плана); приобретение электротоваров (эл. счетчики, светильники (100 шт.) провода, таймеры и др.) – </w:t>
      </w:r>
      <w:r>
        <w:rPr>
          <w:rFonts w:ascii="Times New Roman" w:hAnsi="Times New Roman" w:cs="Times New Roman"/>
          <w:sz w:val="24"/>
          <w:szCs w:val="24"/>
        </w:rPr>
        <w:t xml:space="preserve">945,5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167,6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94,7% плана), выполнение работ по установке праздничной иллюминации – </w:t>
      </w:r>
      <w:r>
        <w:rPr>
          <w:rFonts w:ascii="Times New Roman" w:hAnsi="Times New Roman" w:cs="Times New Roman"/>
          <w:sz w:val="24"/>
          <w:szCs w:val="24"/>
        </w:rPr>
        <w:t xml:space="preserve">201,7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4,1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плана).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2. Организацию и содержание мест захоронения – </w:t>
      </w:r>
      <w:r>
        <w:rPr>
          <w:rFonts w:ascii="Times New Roman" w:hAnsi="Times New Roman" w:cs="Times New Roman"/>
          <w:sz w:val="24"/>
          <w:szCs w:val="24"/>
        </w:rPr>
        <w:t xml:space="preserve">1 367,5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102,8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98,8% плана), в том числе: на оплату газа и техническое обслуживание мемориала «Вечный огонь» – </w:t>
      </w:r>
      <w:r>
        <w:rPr>
          <w:rFonts w:ascii="Times New Roman" w:hAnsi="Times New Roman" w:cs="Times New Roman"/>
          <w:sz w:val="24"/>
          <w:szCs w:val="24"/>
        </w:rPr>
        <w:t>5,4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0,8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63,5% плана), вывоз несанкционированного мусора с территорий мест захоронений (кладбищ) – </w:t>
      </w:r>
      <w:r>
        <w:rPr>
          <w:rFonts w:ascii="Times New Roman" w:hAnsi="Times New Roman" w:cs="Times New Roman"/>
          <w:sz w:val="24"/>
          <w:szCs w:val="24"/>
        </w:rPr>
        <w:t xml:space="preserve">799,7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(уменьшение на </w:t>
      </w:r>
      <w:r>
        <w:rPr>
          <w:rFonts w:ascii="Times New Roman" w:hAnsi="Times New Roman" w:cs="Times New Roman"/>
          <w:sz w:val="24"/>
          <w:szCs w:val="24"/>
        </w:rPr>
        <w:t xml:space="preserve">460,4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плана), ремонт и со</w:t>
      </w:r>
      <w:r>
        <w:rPr>
          <w:rFonts w:ascii="Times New Roman" w:hAnsi="Times New Roman" w:cs="Times New Roman"/>
          <w:sz w:val="24"/>
          <w:szCs w:val="24"/>
        </w:rPr>
        <w:t xml:space="preserve">держание памятников – 159,8 тыс.  руб. (увеличение на 159,8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97,6% п</w:t>
      </w:r>
      <w:r>
        <w:rPr>
          <w:rFonts w:ascii="Times New Roman" w:hAnsi="Times New Roman" w:cs="Times New Roman"/>
          <w:sz w:val="24"/>
          <w:szCs w:val="24"/>
        </w:rPr>
        <w:t>лана), спил деревьев – 402,6 тыс.  руб. (увеличение на 402,6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плана).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3. Озеленение территорий – </w:t>
      </w:r>
      <w:r>
        <w:rPr>
          <w:rFonts w:ascii="Times New Roman" w:hAnsi="Times New Roman" w:cs="Times New Roman"/>
          <w:sz w:val="24"/>
          <w:szCs w:val="24"/>
        </w:rPr>
        <w:t xml:space="preserve">279,0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12,7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100%), Средства направлены на спиливание деревьев, потерявших жизнеспособность и представляющих угрозу.</w:t>
      </w:r>
    </w:p>
    <w:p w:rsidR="008178A3" w:rsidRPr="008178A3" w:rsidRDefault="008178A3" w:rsidP="008178A3">
      <w:pPr>
        <w:ind w:left="142" w:hanging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8A3">
        <w:rPr>
          <w:rFonts w:ascii="Times New Roman" w:hAnsi="Times New Roman" w:cs="Times New Roman"/>
          <w:sz w:val="24"/>
          <w:szCs w:val="24"/>
        </w:rPr>
        <w:t xml:space="preserve">4. Прочие мероприятия – </w:t>
      </w:r>
      <w:r>
        <w:rPr>
          <w:rFonts w:ascii="Times New Roman" w:hAnsi="Times New Roman" w:cs="Times New Roman"/>
          <w:sz w:val="24"/>
          <w:szCs w:val="24"/>
        </w:rPr>
        <w:t xml:space="preserve">3 362,0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(увеличены на </w:t>
      </w:r>
      <w:r>
        <w:rPr>
          <w:rFonts w:ascii="Times New Roman" w:hAnsi="Times New Roman" w:cs="Times New Roman"/>
          <w:sz w:val="24"/>
          <w:szCs w:val="24"/>
        </w:rPr>
        <w:t>1 949,6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94,1%плана), в том числе: на вывоз несанкционированного мусора с территорий п. Навля – </w:t>
      </w:r>
      <w:r>
        <w:rPr>
          <w:rFonts w:ascii="Times New Roman" w:hAnsi="Times New Roman" w:cs="Times New Roman"/>
          <w:sz w:val="24"/>
          <w:szCs w:val="24"/>
        </w:rPr>
        <w:t xml:space="preserve">2 154,8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1 314,2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плана), уборку улиц и площадей – </w:t>
      </w:r>
      <w:r>
        <w:rPr>
          <w:rFonts w:ascii="Times New Roman" w:hAnsi="Times New Roman" w:cs="Times New Roman"/>
          <w:sz w:val="24"/>
          <w:szCs w:val="24"/>
        </w:rPr>
        <w:t xml:space="preserve">360,0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>7,9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10% плана), окашивание территорий, обрезка кустов п. Навля – </w:t>
      </w:r>
      <w:r>
        <w:rPr>
          <w:rFonts w:ascii="Times New Roman" w:hAnsi="Times New Roman" w:cs="Times New Roman"/>
          <w:sz w:val="24"/>
          <w:szCs w:val="24"/>
        </w:rPr>
        <w:t xml:space="preserve">305,8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>
        <w:rPr>
          <w:rFonts w:ascii="Times New Roman" w:hAnsi="Times New Roman" w:cs="Times New Roman"/>
          <w:sz w:val="24"/>
          <w:szCs w:val="24"/>
        </w:rPr>
        <w:t>296,8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плана), инженерно-гидрометеорологические изыскания по строительству пруда-накопителя ливневых вод – 155</w:t>
      </w:r>
      <w:r w:rsidR="004703B9">
        <w:rPr>
          <w:rFonts w:ascii="Times New Roman" w:hAnsi="Times New Roman" w:cs="Times New Roman"/>
          <w:sz w:val="24"/>
          <w:szCs w:val="24"/>
        </w:rPr>
        <w:t xml:space="preserve">,9 тыс.  руб. (увеличение на 155,9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плана), подготовку проектно-сметной документации и по благоустройству дворовых территорий МКД (пер. 1-й Калинина, д. 5, д. 7, пер. Дмитрия Емлютина, д. 3), строительный контроль по благоустройству территорий МКД по ул. Красных Партизан д. №26, ул. Генерала Петренко д. №8 и общественной территории по устройству ограждения спортивной площадки, прилегающей к МБОУ ДО «Навлинская ДЮСШ» в п. Навля – </w:t>
      </w:r>
      <w:r w:rsidR="004703B9">
        <w:rPr>
          <w:rFonts w:ascii="Times New Roman" w:hAnsi="Times New Roman" w:cs="Times New Roman"/>
          <w:sz w:val="24"/>
          <w:szCs w:val="24"/>
        </w:rPr>
        <w:t xml:space="preserve">344,9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165,4 тыс.  руб. к АППГ, </w:t>
      </w:r>
      <w:r w:rsidRPr="008178A3">
        <w:rPr>
          <w:rFonts w:ascii="Times New Roman" w:hAnsi="Times New Roman" w:cs="Times New Roman"/>
          <w:sz w:val="24"/>
          <w:szCs w:val="24"/>
        </w:rPr>
        <w:t xml:space="preserve">100% плана), приобретение хозяйственных материалов (таблички для пляжа, мешки для мусора и прочее) – </w:t>
      </w:r>
      <w:r w:rsidR="004703B9">
        <w:rPr>
          <w:rFonts w:ascii="Times New Roman" w:hAnsi="Times New Roman" w:cs="Times New Roman"/>
          <w:sz w:val="24"/>
          <w:szCs w:val="24"/>
        </w:rPr>
        <w:t xml:space="preserve">40,7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9,9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39,4% плана).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Исполнение расходов, запланированных на выполнение работ по уборке и благоустройству наиболее посещаемых общественных территорий (план </w:t>
      </w:r>
      <w:r w:rsidR="004703B9">
        <w:rPr>
          <w:rFonts w:ascii="Times New Roman" w:hAnsi="Times New Roman" w:cs="Times New Roman"/>
          <w:sz w:val="24"/>
          <w:szCs w:val="24"/>
        </w:rPr>
        <w:t xml:space="preserve">100,0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 и выполнение работ по ремонту и содержанию контейнерных площадок (план </w:t>
      </w:r>
      <w:r w:rsidR="004703B9">
        <w:rPr>
          <w:rFonts w:ascii="Times New Roman" w:hAnsi="Times New Roman" w:cs="Times New Roman"/>
          <w:sz w:val="24"/>
          <w:szCs w:val="24"/>
        </w:rPr>
        <w:t xml:space="preserve">49,1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 в отчетном периоде не проведено, так как проектно-сметная документация не подготовлена, контракты в соответствии с Законом о контрактной системе не заключены. 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Кроме того, по подразделу «Благоустройство»: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По программе «Увековечение памяти погибших при защите Отечества на 2019-2024 годы» выполнены работы по проведению восстановительных работ по объекту «Братская </w:t>
      </w:r>
      <w:r w:rsidRPr="008178A3">
        <w:rPr>
          <w:rFonts w:ascii="Times New Roman" w:hAnsi="Times New Roman" w:cs="Times New Roman"/>
          <w:sz w:val="24"/>
          <w:szCs w:val="24"/>
        </w:rPr>
        <w:lastRenderedPageBreak/>
        <w:t>могила воинов, погибших в боях в 1943г., д. Алексеевка»</w:t>
      </w:r>
      <w:r w:rsidR="004703B9">
        <w:rPr>
          <w:rFonts w:ascii="Times New Roman" w:hAnsi="Times New Roman" w:cs="Times New Roman"/>
          <w:sz w:val="24"/>
          <w:szCs w:val="24"/>
        </w:rPr>
        <w:t xml:space="preserve"> на сумму 237,5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руб., в том числе средс</w:t>
      </w:r>
      <w:r w:rsidR="004703B9">
        <w:rPr>
          <w:rFonts w:ascii="Times New Roman" w:hAnsi="Times New Roman" w:cs="Times New Roman"/>
          <w:sz w:val="24"/>
          <w:szCs w:val="24"/>
        </w:rPr>
        <w:t xml:space="preserve">тва областного бюджета 225,7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8769351"/>
      <w:r w:rsidRPr="008178A3">
        <w:rPr>
          <w:rFonts w:ascii="Times New Roman" w:hAnsi="Times New Roman" w:cs="Times New Roman"/>
          <w:sz w:val="24"/>
          <w:szCs w:val="24"/>
        </w:rPr>
        <w:t xml:space="preserve">По программе «Формирование современной городской среды» выполнены работы по благоустройству объектов на сумму </w:t>
      </w:r>
      <w:r w:rsidR="004703B9">
        <w:rPr>
          <w:rFonts w:ascii="Times New Roman" w:hAnsi="Times New Roman" w:cs="Times New Roman"/>
          <w:sz w:val="24"/>
          <w:szCs w:val="24"/>
        </w:rPr>
        <w:t>4 761,4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754,1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плана), в том числе: выполнение работ по благоустройству общественной территории (устройство ограждения спортивной площадки, прилегающей к МБОУ ДО «Навлинская ДЮСШ») в п. Навля Брянской области – </w:t>
      </w:r>
      <w:r w:rsidR="004703B9">
        <w:rPr>
          <w:rFonts w:ascii="Times New Roman" w:hAnsi="Times New Roman" w:cs="Times New Roman"/>
          <w:sz w:val="24"/>
          <w:szCs w:val="24"/>
        </w:rPr>
        <w:t xml:space="preserve">2 408,3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(100% плана) и благоустройство дворовых территорий МКД по ул. Генерала Петренко д.№8, по ул. Красных Партизан д. №26 – </w:t>
      </w:r>
      <w:r w:rsidR="004703B9">
        <w:rPr>
          <w:rFonts w:ascii="Times New Roman" w:hAnsi="Times New Roman" w:cs="Times New Roman"/>
          <w:sz w:val="24"/>
          <w:szCs w:val="24"/>
        </w:rPr>
        <w:t>2 353,1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(100%).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составили </w:t>
      </w:r>
      <w:r w:rsidR="004703B9">
        <w:rPr>
          <w:rFonts w:ascii="Times New Roman" w:hAnsi="Times New Roman" w:cs="Times New Roman"/>
          <w:sz w:val="24"/>
          <w:szCs w:val="24"/>
        </w:rPr>
        <w:t>3 905,1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(уменьшение на </w:t>
      </w:r>
      <w:r w:rsidR="004703B9">
        <w:rPr>
          <w:rFonts w:ascii="Times New Roman" w:hAnsi="Times New Roman" w:cs="Times New Roman"/>
          <w:sz w:val="24"/>
          <w:szCs w:val="24"/>
        </w:rPr>
        <w:t>52,8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АППГ), бюджет поселения – </w:t>
      </w:r>
      <w:r w:rsidR="004703B9">
        <w:rPr>
          <w:rFonts w:ascii="Times New Roman" w:hAnsi="Times New Roman" w:cs="Times New Roman"/>
          <w:sz w:val="24"/>
          <w:szCs w:val="24"/>
        </w:rPr>
        <w:t xml:space="preserve">673,8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</w:t>
      </w:r>
      <w:r w:rsidR="004703B9">
        <w:rPr>
          <w:rFonts w:ascii="Times New Roman" w:hAnsi="Times New Roman" w:cs="Times New Roman"/>
          <w:sz w:val="24"/>
          <w:szCs w:val="24"/>
        </w:rPr>
        <w:t xml:space="preserve">на 633,8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руб.), доля населения на благоустройства МКД – </w:t>
      </w:r>
      <w:r w:rsidR="004703B9">
        <w:rPr>
          <w:rFonts w:ascii="Times New Roman" w:hAnsi="Times New Roman" w:cs="Times New Roman"/>
          <w:sz w:val="24"/>
          <w:szCs w:val="24"/>
        </w:rPr>
        <w:t>182,5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>173,1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руб.).</w:t>
      </w:r>
    </w:p>
    <w:bookmarkEnd w:id="8"/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Кассовое исполнение расходов по разделу «</w:t>
      </w:r>
      <w:r w:rsidRPr="008178A3">
        <w:rPr>
          <w:rFonts w:ascii="Times New Roman" w:hAnsi="Times New Roman" w:cs="Times New Roman"/>
          <w:iCs/>
          <w:sz w:val="24"/>
          <w:szCs w:val="24"/>
        </w:rPr>
        <w:t>ОХРАНА ОКРУЖАЮЩЕЙ СРЕДЫ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составило </w:t>
      </w:r>
      <w:r w:rsidR="004703B9">
        <w:rPr>
          <w:rFonts w:ascii="Times New Roman" w:hAnsi="Times New Roman" w:cs="Times New Roman"/>
          <w:sz w:val="24"/>
          <w:szCs w:val="24"/>
        </w:rPr>
        <w:t xml:space="preserve">160,0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(уменьшение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240,0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33,3% плана). </w:t>
      </w:r>
      <w:bookmarkStart w:id="9" w:name="_Hlk98769511"/>
      <w:r w:rsidRPr="008178A3">
        <w:rPr>
          <w:rFonts w:ascii="Times New Roman" w:hAnsi="Times New Roman" w:cs="Times New Roman"/>
          <w:sz w:val="24"/>
          <w:szCs w:val="24"/>
        </w:rPr>
        <w:t>Средства направлены на оплату административного штрафа за выброс сточных вод по решению суда.</w:t>
      </w:r>
    </w:p>
    <w:bookmarkEnd w:id="9"/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По разделу 08 «КУЛЬТУРА, КИНЕМАТОГРАФИЯ» расходы исполнены в сумме </w:t>
      </w:r>
      <w:r w:rsidR="004703B9">
        <w:rPr>
          <w:rFonts w:ascii="Times New Roman" w:hAnsi="Times New Roman" w:cs="Times New Roman"/>
          <w:sz w:val="24"/>
          <w:szCs w:val="24"/>
        </w:rPr>
        <w:t xml:space="preserve">4 786,3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bookmarkStart w:id="10" w:name="_Hlk98769728"/>
      <w:r w:rsidRPr="008178A3">
        <w:rPr>
          <w:rFonts w:ascii="Times New Roman" w:hAnsi="Times New Roman" w:cs="Times New Roman"/>
          <w:sz w:val="24"/>
          <w:szCs w:val="24"/>
        </w:rPr>
        <w:t xml:space="preserve">уменьшение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152,8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90,9% плана</w:t>
      </w:r>
      <w:bookmarkEnd w:id="10"/>
      <w:r w:rsidRPr="008178A3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1" w:name="_Hlk98769788"/>
      <w:r w:rsidRPr="008178A3">
        <w:rPr>
          <w:rFonts w:ascii="Times New Roman" w:hAnsi="Times New Roman" w:cs="Times New Roman"/>
          <w:sz w:val="24"/>
          <w:szCs w:val="24"/>
        </w:rPr>
        <w:t>Доля расходов раздела в общем объеме расходов бюджета составила 7,4 процента, что на 5,5 процентных пункта выше показателя прошлого года. По подразделу 0801 «Культура» расходы исполнены на 90,9 процента.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Средства направлены на организацию библиотечного обслуживания населения в размере </w:t>
      </w:r>
      <w:r w:rsidR="004703B9">
        <w:rPr>
          <w:rFonts w:ascii="Times New Roman" w:hAnsi="Times New Roman" w:cs="Times New Roman"/>
          <w:sz w:val="24"/>
          <w:szCs w:val="24"/>
        </w:rPr>
        <w:t xml:space="preserve">2 058,1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(96,2% плана), что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578,3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ниже уровня АППГ, а также на создание условий для организации досуга и обеспечения жителей городского поселения услугами организаций культуры в размере </w:t>
      </w:r>
      <w:r w:rsidR="004703B9">
        <w:rPr>
          <w:rFonts w:ascii="Times New Roman" w:hAnsi="Times New Roman" w:cs="Times New Roman"/>
          <w:sz w:val="24"/>
          <w:szCs w:val="24"/>
        </w:rPr>
        <w:t xml:space="preserve">2 728,1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(87,3%), что на </w:t>
      </w:r>
      <w:r w:rsidR="004703B9">
        <w:rPr>
          <w:rFonts w:ascii="Times New Roman" w:hAnsi="Times New Roman" w:cs="Times New Roman"/>
          <w:sz w:val="24"/>
          <w:szCs w:val="24"/>
        </w:rPr>
        <w:t>425,5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выше уровня АППГ.</w:t>
      </w:r>
    </w:p>
    <w:bookmarkEnd w:id="11"/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Расходы раздела </w:t>
      </w:r>
      <w:r w:rsidRPr="008178A3">
        <w:rPr>
          <w:rFonts w:ascii="Times New Roman" w:hAnsi="Times New Roman" w:cs="Times New Roman"/>
          <w:i/>
          <w:sz w:val="24"/>
          <w:szCs w:val="24"/>
        </w:rPr>
        <w:t>«</w:t>
      </w:r>
      <w:r w:rsidRPr="008178A3">
        <w:rPr>
          <w:rFonts w:ascii="Times New Roman" w:hAnsi="Times New Roman" w:cs="Times New Roman"/>
          <w:iCs/>
          <w:sz w:val="24"/>
          <w:szCs w:val="24"/>
        </w:rPr>
        <w:t>СОЦИАЛЬНАЯ ПОЛИТИКА</w:t>
      </w:r>
      <w:r w:rsidRPr="008178A3">
        <w:rPr>
          <w:rFonts w:ascii="Times New Roman" w:hAnsi="Times New Roman" w:cs="Times New Roman"/>
          <w:i/>
          <w:sz w:val="24"/>
          <w:szCs w:val="24"/>
        </w:rPr>
        <w:t>»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исполнены в объеме </w:t>
      </w:r>
      <w:r w:rsidR="004703B9">
        <w:rPr>
          <w:rFonts w:ascii="Times New Roman" w:hAnsi="Times New Roman" w:cs="Times New Roman"/>
          <w:sz w:val="24"/>
          <w:szCs w:val="24"/>
        </w:rPr>
        <w:t>404,0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8,7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99,8% от плана). Доля расходов раздела в общем объеме расходов бюджета составила 0,6 процентов.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1001 «</w:t>
      </w:r>
      <w:r w:rsidRPr="008178A3">
        <w:rPr>
          <w:rFonts w:ascii="Times New Roman" w:hAnsi="Times New Roman" w:cs="Times New Roman"/>
          <w:i/>
          <w:sz w:val="24"/>
          <w:szCs w:val="24"/>
        </w:rPr>
        <w:t>Пенсионное обеспечение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плановые назначения исполнены на 100 процентов и составили </w:t>
      </w:r>
      <w:bookmarkStart w:id="12" w:name="_Hlk67577431"/>
      <w:r w:rsidR="004703B9">
        <w:rPr>
          <w:rFonts w:ascii="Times New Roman" w:hAnsi="Times New Roman" w:cs="Times New Roman"/>
          <w:sz w:val="24"/>
          <w:szCs w:val="24"/>
        </w:rPr>
        <w:t xml:space="preserve">365,0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</w:t>
      </w:r>
      <w:bookmarkEnd w:id="12"/>
      <w:r w:rsidRPr="008178A3">
        <w:rPr>
          <w:rFonts w:ascii="Times New Roman" w:hAnsi="Times New Roman" w:cs="Times New Roman"/>
          <w:sz w:val="24"/>
          <w:szCs w:val="24"/>
        </w:rPr>
        <w:t xml:space="preserve">.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>3,6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от плана). Средства направлены на доплату муниципальной пенсии (4 человека) – </w:t>
      </w:r>
      <w:r w:rsidR="004703B9">
        <w:rPr>
          <w:rFonts w:ascii="Times New Roman" w:hAnsi="Times New Roman" w:cs="Times New Roman"/>
          <w:sz w:val="24"/>
          <w:szCs w:val="24"/>
        </w:rPr>
        <w:t>365,0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(100 процентов).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1006 «</w:t>
      </w:r>
      <w:r w:rsidRPr="008178A3">
        <w:rPr>
          <w:rFonts w:ascii="Times New Roman" w:hAnsi="Times New Roman" w:cs="Times New Roman"/>
          <w:i/>
          <w:sz w:val="24"/>
          <w:szCs w:val="24"/>
        </w:rPr>
        <w:t>Другие вопросы в области социальной политики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плановые назначения исполнены на 100 процентов и составили </w:t>
      </w:r>
      <w:r w:rsidR="004703B9">
        <w:rPr>
          <w:rFonts w:ascii="Times New Roman" w:hAnsi="Times New Roman" w:cs="Times New Roman"/>
          <w:sz w:val="24"/>
          <w:szCs w:val="24"/>
        </w:rPr>
        <w:t xml:space="preserve">39,0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5,0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97,6% от плана). Средства направлены на исполнение транспортных услуг (Пасха, Радоница) – </w:t>
      </w:r>
      <w:r w:rsidR="004703B9">
        <w:rPr>
          <w:rFonts w:ascii="Times New Roman" w:hAnsi="Times New Roman" w:cs="Times New Roman"/>
          <w:sz w:val="24"/>
          <w:szCs w:val="24"/>
        </w:rPr>
        <w:t xml:space="preserve">39,0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(97,6 процентов).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178A3">
        <w:rPr>
          <w:rFonts w:ascii="Times New Roman" w:hAnsi="Times New Roman" w:cs="Times New Roman"/>
          <w:i/>
          <w:sz w:val="24"/>
          <w:szCs w:val="24"/>
        </w:rPr>
        <w:t>«</w:t>
      </w:r>
      <w:r w:rsidRPr="008178A3">
        <w:rPr>
          <w:rFonts w:ascii="Times New Roman" w:hAnsi="Times New Roman" w:cs="Times New Roman"/>
          <w:iCs/>
          <w:sz w:val="24"/>
          <w:szCs w:val="24"/>
        </w:rPr>
        <w:t>ФИЗИЧЕСКАЯ КУЛЬТУРА И СПОРТ</w:t>
      </w:r>
      <w:r w:rsidRPr="008178A3">
        <w:rPr>
          <w:rFonts w:ascii="Times New Roman" w:hAnsi="Times New Roman" w:cs="Times New Roman"/>
          <w:i/>
          <w:sz w:val="24"/>
          <w:szCs w:val="24"/>
        </w:rPr>
        <w:t>»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исполнен в сумме </w:t>
      </w:r>
      <w:r w:rsidR="004703B9">
        <w:rPr>
          <w:rFonts w:ascii="Times New Roman" w:hAnsi="Times New Roman" w:cs="Times New Roman"/>
          <w:sz w:val="24"/>
          <w:szCs w:val="24"/>
        </w:rPr>
        <w:t xml:space="preserve">3 688,8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руб., или 98,9 процента к уточненному годовому плану. По сравнению с аналогичным периодом прошлого года расходы увеличены на </w:t>
      </w:r>
      <w:r w:rsidR="004703B9">
        <w:rPr>
          <w:rFonts w:ascii="Times New Roman" w:hAnsi="Times New Roman" w:cs="Times New Roman"/>
          <w:sz w:val="24"/>
          <w:szCs w:val="24"/>
        </w:rPr>
        <w:t>3 610,5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направлены на содержание стадиона – </w:t>
      </w:r>
      <w:r w:rsidR="004703B9">
        <w:rPr>
          <w:rFonts w:ascii="Times New Roman" w:hAnsi="Times New Roman" w:cs="Times New Roman"/>
          <w:sz w:val="24"/>
          <w:szCs w:val="24"/>
        </w:rPr>
        <w:t xml:space="preserve">84,5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 w:rsidR="004703B9">
        <w:rPr>
          <w:rFonts w:ascii="Times New Roman" w:hAnsi="Times New Roman" w:cs="Times New Roman"/>
          <w:sz w:val="24"/>
          <w:szCs w:val="24"/>
        </w:rPr>
        <w:t xml:space="preserve">6,1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80,9% от плана), в том числе: окашивание травы и уборка мусора (</w:t>
      </w:r>
      <w:r w:rsidR="004703B9">
        <w:rPr>
          <w:rFonts w:ascii="Times New Roman" w:hAnsi="Times New Roman" w:cs="Times New Roman"/>
          <w:sz w:val="24"/>
          <w:szCs w:val="24"/>
        </w:rPr>
        <w:t xml:space="preserve">68,1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руб.), подготовка проектно-сметной документации (</w:t>
      </w:r>
      <w:r w:rsidR="004703B9">
        <w:rPr>
          <w:rFonts w:ascii="Times New Roman" w:hAnsi="Times New Roman" w:cs="Times New Roman"/>
          <w:sz w:val="24"/>
          <w:szCs w:val="24"/>
        </w:rPr>
        <w:t xml:space="preserve">16,4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руб.).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Кроме того, по данному разделу средства направлены так же на выполнение работ по подготовке основания для строительства малой спортивной площадки на территории парка культуры и отдыха имени Михаила Князева п. Навля (980</w:t>
      </w:r>
      <w:r w:rsidR="004703B9">
        <w:rPr>
          <w:rFonts w:ascii="Times New Roman" w:hAnsi="Times New Roman" w:cs="Times New Roman"/>
          <w:sz w:val="24"/>
          <w:szCs w:val="24"/>
        </w:rPr>
        <w:t xml:space="preserve">,7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5B3CA3" w:rsidRDefault="008178A3" w:rsidP="005B3C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программе «Спорт-норма жизни (Брянской области)» выполнены работы по оснащению комплектом спортивно-технологического оборудования для создания малой спортивн</w:t>
      </w:r>
      <w:r w:rsidR="004703B9">
        <w:rPr>
          <w:rFonts w:ascii="Times New Roman" w:hAnsi="Times New Roman" w:cs="Times New Roman"/>
          <w:sz w:val="24"/>
          <w:szCs w:val="24"/>
        </w:rPr>
        <w:t xml:space="preserve">ой площадки на сумму 2 623,6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руб., в том числе средства</w:t>
      </w:r>
      <w:r w:rsidR="004703B9">
        <w:rPr>
          <w:rFonts w:ascii="Times New Roman" w:hAnsi="Times New Roman" w:cs="Times New Roman"/>
          <w:sz w:val="24"/>
          <w:szCs w:val="24"/>
        </w:rPr>
        <w:t xml:space="preserve"> областного бюджета 2 597,4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C1C0A" w:rsidRPr="005B3CA3" w:rsidRDefault="001C1C0A" w:rsidP="005B3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C0A">
        <w:rPr>
          <w:rFonts w:ascii="Times New Roman" w:hAnsi="Times New Roman" w:cs="Times New Roman"/>
        </w:rPr>
        <w:t xml:space="preserve">В текущем году бюджет поселения сформирован и утвержден в </w:t>
      </w:r>
      <w:r w:rsidRPr="001C1C0A">
        <w:rPr>
          <w:rFonts w:ascii="Times New Roman" w:hAnsi="Times New Roman" w:cs="Times New Roman"/>
          <w:b/>
          <w:bCs/>
        </w:rPr>
        <w:t>«программном»</w:t>
      </w:r>
      <w:r w:rsidRPr="001C1C0A">
        <w:rPr>
          <w:rFonts w:ascii="Times New Roman" w:hAnsi="Times New Roman" w:cs="Times New Roman"/>
        </w:rPr>
        <w:t xml:space="preserve"> формате, 99,6% бюджетных ассигнований запланировано в рамках реализации 2-х муниципальных программ и в непрограммном формате – 0,4% от годового объема расходов.</w:t>
      </w:r>
    </w:p>
    <w:p w:rsidR="001C1C0A" w:rsidRPr="005347FF" w:rsidRDefault="001C1C0A" w:rsidP="001C1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7FF">
        <w:rPr>
          <w:rFonts w:ascii="Times New Roman" w:hAnsi="Times New Roman" w:cs="Times New Roman"/>
          <w:sz w:val="24"/>
          <w:szCs w:val="24"/>
        </w:rPr>
        <w:t>Исполнение расходов в разрезе муниципальных программ по итогам 2022 года составило:</w:t>
      </w:r>
    </w:p>
    <w:p w:rsidR="001C1C0A" w:rsidRPr="001C1C0A" w:rsidRDefault="001C1C0A" w:rsidP="001C1C0A">
      <w:pPr>
        <w:pStyle w:val="a9"/>
        <w:numPr>
          <w:ilvl w:val="0"/>
          <w:numId w:val="5"/>
        </w:numPr>
        <w:spacing w:after="0"/>
        <w:jc w:val="both"/>
      </w:pPr>
      <w:r w:rsidRPr="001C1C0A">
        <w:t>Муниципальная программа «Реализация полномочий Навлинского городского</w:t>
      </w:r>
    </w:p>
    <w:p w:rsidR="001C1C0A" w:rsidRPr="001C1C0A" w:rsidRDefault="001C1C0A" w:rsidP="001C1C0A">
      <w:pPr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 xml:space="preserve">поселения», расходы составили </w:t>
      </w:r>
      <w:r>
        <w:rPr>
          <w:rFonts w:ascii="Times New Roman" w:hAnsi="Times New Roman" w:cs="Times New Roman"/>
        </w:rPr>
        <w:t>59 329,3 тыс.</w:t>
      </w:r>
      <w:r w:rsidRPr="001C1C0A">
        <w:rPr>
          <w:rFonts w:ascii="Times New Roman" w:hAnsi="Times New Roman" w:cs="Times New Roman"/>
        </w:rPr>
        <w:t xml:space="preserve"> руб., что на </w:t>
      </w:r>
      <w:r>
        <w:rPr>
          <w:rFonts w:ascii="Times New Roman" w:hAnsi="Times New Roman" w:cs="Times New Roman"/>
        </w:rPr>
        <w:t xml:space="preserve">196 821,1 тыс. </w:t>
      </w:r>
      <w:r w:rsidRPr="001C1C0A">
        <w:rPr>
          <w:rFonts w:ascii="Times New Roman" w:hAnsi="Times New Roman" w:cs="Times New Roman"/>
        </w:rPr>
        <w:t xml:space="preserve"> руб. ниже уровня АППГ. Годовой план исполнен на 74,5%.</w:t>
      </w:r>
    </w:p>
    <w:p w:rsidR="001C1C0A" w:rsidRPr="001C1C0A" w:rsidRDefault="001C1C0A" w:rsidP="001C1C0A">
      <w:pPr>
        <w:ind w:firstLine="708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>Муниципальная программа «Формирование современной городской среды»: расходы составили</w:t>
      </w:r>
      <w:r>
        <w:rPr>
          <w:rFonts w:ascii="Times New Roman" w:hAnsi="Times New Roman" w:cs="Times New Roman"/>
        </w:rPr>
        <w:t xml:space="preserve"> 4 761,4 тыс. </w:t>
      </w:r>
      <w:r w:rsidRPr="001C1C0A">
        <w:rPr>
          <w:rFonts w:ascii="Times New Roman" w:hAnsi="Times New Roman" w:cs="Times New Roman"/>
        </w:rPr>
        <w:t xml:space="preserve"> руб., что на </w:t>
      </w:r>
      <w:r>
        <w:rPr>
          <w:rFonts w:ascii="Times New Roman" w:hAnsi="Times New Roman" w:cs="Times New Roman"/>
        </w:rPr>
        <w:t>754,1 тыс.</w:t>
      </w:r>
      <w:r w:rsidRPr="001C1C0A">
        <w:rPr>
          <w:rFonts w:ascii="Times New Roman" w:hAnsi="Times New Roman" w:cs="Times New Roman"/>
        </w:rPr>
        <w:t xml:space="preserve"> руб. выше уровня АППГ. Годовой план исполнен на 100%.</w:t>
      </w:r>
    </w:p>
    <w:p w:rsidR="001C1C0A" w:rsidRPr="001C1C0A" w:rsidRDefault="001C1C0A" w:rsidP="001C1C0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bookmarkStart w:id="13" w:name="_Hlk36124408"/>
      <w:r w:rsidRPr="001C1C0A">
        <w:rPr>
          <w:rFonts w:ascii="Times New Roman" w:eastAsia="Calibri" w:hAnsi="Times New Roman" w:cs="Times New Roman"/>
        </w:rPr>
        <w:t>Анализ распределения исполнения расходов бюджета по муниципальным программам за 2022 год представлен в таблице.</w:t>
      </w:r>
    </w:p>
    <w:p w:rsidR="001C1C0A" w:rsidRPr="001C1C0A" w:rsidRDefault="005347FF" w:rsidP="001C1C0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 xml:space="preserve"> </w:t>
      </w:r>
      <w:r w:rsidR="001C1C0A" w:rsidRPr="001C1C0A">
        <w:rPr>
          <w:rFonts w:ascii="Times New Roman" w:eastAsia="Calibri" w:hAnsi="Times New Roman" w:cs="Times New Roman"/>
        </w:rPr>
        <w:t>(руб.)</w:t>
      </w:r>
    </w:p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404"/>
        <w:gridCol w:w="2143"/>
        <w:gridCol w:w="1336"/>
        <w:gridCol w:w="1134"/>
        <w:gridCol w:w="1276"/>
        <w:gridCol w:w="1276"/>
        <w:gridCol w:w="785"/>
        <w:gridCol w:w="786"/>
        <w:gridCol w:w="785"/>
      </w:tblGrid>
      <w:tr w:rsidR="001C1C0A" w:rsidRPr="001C1C0A" w:rsidTr="00365676">
        <w:trPr>
          <w:trHeight w:val="2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Уточненный план на 2022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2022 год (руб.)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Темп роста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расходов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плана, %</w:t>
            </w:r>
          </w:p>
        </w:tc>
      </w:tr>
      <w:tr w:rsidR="001C1C0A" w:rsidRPr="001C1C0A" w:rsidTr="00365676">
        <w:trPr>
          <w:trHeight w:val="92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+/-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13"/>
      <w:tr w:rsidR="001C1C0A" w:rsidRPr="001C1C0A" w:rsidTr="00365676">
        <w:trPr>
          <w:trHeight w:val="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Всего по программам: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260 157,7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84 378,0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64 090,7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-196 067,0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76,0</w:t>
            </w:r>
          </w:p>
        </w:tc>
      </w:tr>
      <w:tr w:rsidR="001C1C0A" w:rsidRPr="001C1C0A" w:rsidTr="00365676">
        <w:trPr>
          <w:trHeight w:val="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1C0A" w:rsidRPr="001C1C0A" w:rsidTr="00365676">
        <w:trPr>
          <w:trHeight w:val="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«Реализация полномочий Навлинского городского поселения»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256 150,4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79 616,7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59 329,3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-196 821,1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74,5</w:t>
            </w:r>
          </w:p>
        </w:tc>
      </w:tr>
      <w:tr w:rsidR="001C1C0A" w:rsidRPr="001C1C0A" w:rsidTr="00365676">
        <w:trPr>
          <w:trHeight w:val="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4 007,3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4 761,4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4 761,4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1C1C0A" w:rsidRPr="001C1C0A" w:rsidRDefault="001C1C0A" w:rsidP="001C1C0A">
      <w:pPr>
        <w:spacing w:before="240"/>
        <w:ind w:firstLine="567"/>
        <w:jc w:val="both"/>
        <w:rPr>
          <w:rFonts w:ascii="Times New Roman" w:hAnsi="Times New Roman" w:cs="Times New Roman"/>
          <w:iCs/>
        </w:rPr>
      </w:pPr>
      <w:r w:rsidRPr="001C1C0A">
        <w:rPr>
          <w:rFonts w:ascii="Times New Roman" w:hAnsi="Times New Roman" w:cs="Times New Roman"/>
          <w:iCs/>
        </w:rPr>
        <w:lastRenderedPageBreak/>
        <w:t xml:space="preserve">Общий объем финансирования муниципальных программ в соответствии со сводной бюджетной росписью на 2022 год утвержден в сумме </w:t>
      </w:r>
      <w:r>
        <w:rPr>
          <w:rFonts w:ascii="Times New Roman" w:hAnsi="Times New Roman" w:cs="Times New Roman"/>
          <w:iCs/>
        </w:rPr>
        <w:t>84 378,0 тыс.</w:t>
      </w:r>
      <w:r w:rsidRPr="001C1C0A">
        <w:rPr>
          <w:rFonts w:ascii="Times New Roman" w:hAnsi="Times New Roman" w:cs="Times New Roman"/>
          <w:iCs/>
        </w:rPr>
        <w:t xml:space="preserve"> руб. или 99,2 процента бюджетных ассигнований, утвержденных Решением о бюджете. По итогам 2022 года кассовое исполнение расходов по муниципальным программам сложилось в сумме </w:t>
      </w:r>
      <w:r>
        <w:rPr>
          <w:rFonts w:ascii="Times New Roman" w:hAnsi="Times New Roman" w:cs="Times New Roman"/>
          <w:iCs/>
        </w:rPr>
        <w:t xml:space="preserve">64 090,7 тыс. </w:t>
      </w:r>
      <w:r w:rsidRPr="001C1C0A">
        <w:rPr>
          <w:rFonts w:ascii="Times New Roman" w:hAnsi="Times New Roman" w:cs="Times New Roman"/>
          <w:iCs/>
        </w:rPr>
        <w:t xml:space="preserve"> руб. (уменьшение на </w:t>
      </w:r>
      <w:r>
        <w:rPr>
          <w:rFonts w:ascii="Times New Roman" w:hAnsi="Times New Roman" w:cs="Times New Roman"/>
          <w:iCs/>
        </w:rPr>
        <w:t>196 067,0 тыс.</w:t>
      </w:r>
      <w:r w:rsidRPr="001C1C0A">
        <w:rPr>
          <w:rFonts w:ascii="Times New Roman" w:hAnsi="Times New Roman" w:cs="Times New Roman"/>
          <w:iCs/>
        </w:rPr>
        <w:t xml:space="preserve"> руб. к АППГ), что составляет 99,6 процента расходов бюджета Навлинского городского поселения Навлинского муниципального района Брянской области.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  <w:iCs/>
        </w:rPr>
      </w:pPr>
      <w:r w:rsidRPr="001C1C0A">
        <w:rPr>
          <w:rFonts w:ascii="Times New Roman" w:hAnsi="Times New Roman" w:cs="Times New Roman"/>
          <w:iCs/>
        </w:rPr>
        <w:t xml:space="preserve">Наибольший объем расходов – </w:t>
      </w:r>
      <w:r>
        <w:rPr>
          <w:rFonts w:ascii="Times New Roman" w:hAnsi="Times New Roman" w:cs="Times New Roman"/>
          <w:iCs/>
        </w:rPr>
        <w:t xml:space="preserve">59 329,3 тыс. </w:t>
      </w:r>
      <w:r w:rsidRPr="001C1C0A">
        <w:rPr>
          <w:rFonts w:ascii="Times New Roman" w:hAnsi="Times New Roman" w:cs="Times New Roman"/>
          <w:iCs/>
        </w:rPr>
        <w:t xml:space="preserve"> руб. или 92,2 процентов общих расходов произведен по муниципальной программе «</w:t>
      </w:r>
      <w:r w:rsidRPr="001C1C0A">
        <w:rPr>
          <w:rFonts w:ascii="Times New Roman" w:eastAsia="Calibri" w:hAnsi="Times New Roman" w:cs="Times New Roman"/>
          <w:color w:val="000000"/>
        </w:rPr>
        <w:t>Реализация полномочий Навлинского городского поселения</w:t>
      </w:r>
      <w:r w:rsidRPr="001C1C0A">
        <w:rPr>
          <w:rFonts w:ascii="Times New Roman" w:hAnsi="Times New Roman" w:cs="Times New Roman"/>
          <w:iCs/>
        </w:rPr>
        <w:t>».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  <w:iCs/>
        </w:rPr>
      </w:pPr>
      <w:r w:rsidRPr="001C1C0A">
        <w:rPr>
          <w:rFonts w:ascii="Times New Roman" w:hAnsi="Times New Roman" w:cs="Times New Roman"/>
          <w:iCs/>
        </w:rPr>
        <w:t xml:space="preserve">Расходы по непрограммной деятельности исполнены в объеме </w:t>
      </w:r>
      <w:r>
        <w:rPr>
          <w:rFonts w:ascii="Times New Roman" w:hAnsi="Times New Roman" w:cs="Times New Roman"/>
          <w:iCs/>
        </w:rPr>
        <w:t>243,2 тыс.</w:t>
      </w:r>
      <w:r w:rsidRPr="001C1C0A">
        <w:rPr>
          <w:rFonts w:ascii="Times New Roman" w:hAnsi="Times New Roman" w:cs="Times New Roman"/>
          <w:iCs/>
        </w:rPr>
        <w:t xml:space="preserve"> руб., что на </w:t>
      </w:r>
      <w:r>
        <w:rPr>
          <w:rFonts w:ascii="Times New Roman" w:hAnsi="Times New Roman" w:cs="Times New Roman"/>
          <w:iCs/>
        </w:rPr>
        <w:t xml:space="preserve">203,3 тыс. </w:t>
      </w:r>
      <w:r w:rsidRPr="001C1C0A">
        <w:rPr>
          <w:rFonts w:ascii="Times New Roman" w:hAnsi="Times New Roman" w:cs="Times New Roman"/>
          <w:iCs/>
        </w:rPr>
        <w:t xml:space="preserve"> руб. ниже уровня АППГ. Годовой план исполнен на 37,7%.</w:t>
      </w:r>
    </w:p>
    <w:p w:rsidR="001C1C0A" w:rsidRPr="001C1C0A" w:rsidRDefault="001C1C0A" w:rsidP="001C1C0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>Анализ распределения исполнения расходов бюджета по непрограммной деятельности за 2022 год представлен в таблице.</w:t>
      </w:r>
    </w:p>
    <w:p w:rsidR="001C1C0A" w:rsidRPr="001C1C0A" w:rsidRDefault="005347FF" w:rsidP="001C1C0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 xml:space="preserve"> </w:t>
      </w:r>
      <w:r w:rsidR="001C1C0A" w:rsidRPr="001C1C0A">
        <w:rPr>
          <w:rFonts w:ascii="Times New Roman" w:eastAsia="Calibri" w:hAnsi="Times New Roman" w:cs="Times New Roman"/>
        </w:rPr>
        <w:t>(руб.)</w:t>
      </w:r>
    </w:p>
    <w:tbl>
      <w:tblPr>
        <w:tblW w:w="9884" w:type="dxa"/>
        <w:tblLayout w:type="fixed"/>
        <w:tblLook w:val="04A0" w:firstRow="1" w:lastRow="0" w:firstColumn="1" w:lastColumn="0" w:noHBand="0" w:noVBand="1"/>
      </w:tblPr>
      <w:tblGrid>
        <w:gridCol w:w="685"/>
        <w:gridCol w:w="2429"/>
        <w:gridCol w:w="1100"/>
        <w:gridCol w:w="1134"/>
        <w:gridCol w:w="1276"/>
        <w:gridCol w:w="992"/>
        <w:gridCol w:w="790"/>
        <w:gridCol w:w="715"/>
        <w:gridCol w:w="763"/>
      </w:tblGrid>
      <w:tr w:rsidR="001C1C0A" w:rsidRPr="001C1C0A" w:rsidTr="00365676">
        <w:trPr>
          <w:trHeight w:val="2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Уточненный план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Кассовое исполнение за 2022 год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Темп роста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расходов, %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плана, %</w:t>
            </w: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+/-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Непрограммная деятельность, всего: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- 203,3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37,7</w:t>
            </w: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98,0</w:t>
            </w: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Членские взносы некоммерческим организациям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- 228,0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- 3,4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C0A" w:rsidRPr="001C1C0A" w:rsidRDefault="001C1C0A" w:rsidP="00365676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1C1C0A" w:rsidRPr="001C1C0A" w:rsidRDefault="001C1C0A" w:rsidP="001C1C0A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 xml:space="preserve">Объем расходов на информационное обеспечение исполнены в сумме </w:t>
      </w:r>
      <w:r>
        <w:rPr>
          <w:rFonts w:ascii="Times New Roman" w:hAnsi="Times New Roman" w:cs="Times New Roman"/>
        </w:rPr>
        <w:t xml:space="preserve">78,4 тыс. </w:t>
      </w:r>
      <w:r w:rsidRPr="001C1C0A">
        <w:rPr>
          <w:rFonts w:ascii="Times New Roman" w:hAnsi="Times New Roman" w:cs="Times New Roman"/>
        </w:rPr>
        <w:t xml:space="preserve"> руб. </w:t>
      </w:r>
      <w:bookmarkStart w:id="14" w:name="_Hlk127440905"/>
      <w:r w:rsidRPr="001C1C0A">
        <w:rPr>
          <w:rFonts w:ascii="Times New Roman" w:hAnsi="Times New Roman" w:cs="Times New Roman"/>
        </w:rPr>
        <w:t xml:space="preserve">(увеличение на </w:t>
      </w:r>
      <w:r>
        <w:rPr>
          <w:rFonts w:ascii="Times New Roman" w:hAnsi="Times New Roman" w:cs="Times New Roman"/>
        </w:rPr>
        <w:t xml:space="preserve">27,2 тыс. </w:t>
      </w:r>
      <w:r w:rsidRPr="001C1C0A">
        <w:rPr>
          <w:rFonts w:ascii="Times New Roman" w:hAnsi="Times New Roman" w:cs="Times New Roman"/>
        </w:rPr>
        <w:t xml:space="preserve"> руб. к АППГ</w:t>
      </w:r>
      <w:bookmarkEnd w:id="14"/>
      <w:r w:rsidRPr="001C1C0A">
        <w:rPr>
          <w:rFonts w:ascii="Times New Roman" w:hAnsi="Times New Roman" w:cs="Times New Roman"/>
        </w:rPr>
        <w:t>, 98,0% плана). Данные расходы направлялись на публикацию материалов в газете «Наше время», в информационном бюллетене. Расходы исполнены в объеме заключенных договоров, согласно актам выполненных работ.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lastRenderedPageBreak/>
        <w:t>Объем расходов на уплату членского взноса в Совет муниципальных образований исполнены в сумме 11</w:t>
      </w:r>
      <w:r>
        <w:rPr>
          <w:rFonts w:ascii="Times New Roman" w:hAnsi="Times New Roman" w:cs="Times New Roman"/>
        </w:rPr>
        <w:t xml:space="preserve">,0 тыс. </w:t>
      </w:r>
      <w:r w:rsidRPr="001C1C0A">
        <w:rPr>
          <w:rFonts w:ascii="Times New Roman" w:hAnsi="Times New Roman" w:cs="Times New Roman"/>
        </w:rPr>
        <w:t xml:space="preserve"> руб. </w:t>
      </w:r>
      <w:r>
        <w:rPr>
          <w:rFonts w:ascii="Times New Roman" w:hAnsi="Times New Roman" w:cs="Times New Roman"/>
        </w:rPr>
        <w:t>(увеличение на 1,0 тыс.</w:t>
      </w:r>
      <w:r w:rsidRPr="001C1C0A">
        <w:rPr>
          <w:rFonts w:ascii="Times New Roman" w:hAnsi="Times New Roman" w:cs="Times New Roman"/>
        </w:rPr>
        <w:t xml:space="preserve"> руб. к АППГ, 100 процентов).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>Объем расходов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исполнены в сумме 15</w:t>
      </w:r>
      <w:r>
        <w:rPr>
          <w:rFonts w:ascii="Times New Roman" w:hAnsi="Times New Roman" w:cs="Times New Roman"/>
        </w:rPr>
        <w:t xml:space="preserve">3,8 тыс. </w:t>
      </w:r>
      <w:r w:rsidRPr="001C1C0A">
        <w:rPr>
          <w:rFonts w:ascii="Times New Roman" w:hAnsi="Times New Roman" w:cs="Times New Roman"/>
        </w:rPr>
        <w:t xml:space="preserve"> руб. </w:t>
      </w:r>
      <w:r>
        <w:rPr>
          <w:rFonts w:ascii="Times New Roman" w:hAnsi="Times New Roman" w:cs="Times New Roman"/>
        </w:rPr>
        <w:t xml:space="preserve">(уменьшение на 3,4 тыс. </w:t>
      </w:r>
      <w:r w:rsidRPr="001C1C0A">
        <w:rPr>
          <w:rFonts w:ascii="Times New Roman" w:hAnsi="Times New Roman" w:cs="Times New Roman"/>
        </w:rPr>
        <w:t xml:space="preserve"> руб. к АППГ 100 % плана). 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>В отчетном периоде средства резервного фонда не использовались.</w:t>
      </w:r>
    </w:p>
    <w:p w:rsidR="00122938" w:rsidRPr="00060588" w:rsidRDefault="00122938" w:rsidP="00195994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Ведомственная структура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r w:rsidR="007A0A9A" w:rsidRPr="00060588">
        <w:rPr>
          <w:rFonts w:ascii="Times New Roman" w:eastAsia="Times New Roman" w:hAnsi="Times New Roman" w:cs="Times New Roman"/>
          <w:sz w:val="24"/>
          <w:szCs w:val="24"/>
        </w:rPr>
        <w:t>Навлинского 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представлена одним главным распорядителем бюджетных средств –</w:t>
      </w:r>
      <w:r w:rsidR="00E36CE9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47E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6868B0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Навлинского </w:t>
      </w:r>
      <w:r w:rsidR="0042247E" w:rsidRPr="00060588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122938" w:rsidRPr="00060588" w:rsidRDefault="00AE430B" w:rsidP="0012293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.1.3. Анализ дефицита (</w:t>
      </w:r>
      <w:r w:rsidR="005173DB" w:rsidRPr="00060588">
        <w:rPr>
          <w:rFonts w:ascii="Times New Roman" w:eastAsia="Times New Roman" w:hAnsi="Times New Roman" w:cs="Times New Roman"/>
          <w:b/>
          <w:sz w:val="24"/>
          <w:szCs w:val="24"/>
        </w:rPr>
        <w:t>профицита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) бюджета и источников финансирования дефицита бюджета.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Решением поселкового Совета народных депутатов «О бюджете Навлинского городского поселения Навлинского муниципального района Брянской области на 2021 год и на плановый период 2022 и 2023 годов» бюджет первоначально был утвержден с дефицитом в сумме 0,0 руб. 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Решениями поселкового Совета народных депутатов от </w:t>
      </w:r>
      <w:r w:rsidR="00195994">
        <w:rPr>
          <w:rFonts w:ascii="Times New Roman" w:hAnsi="Times New Roman" w:cs="Times New Roman"/>
          <w:sz w:val="24"/>
          <w:szCs w:val="24"/>
        </w:rPr>
        <w:t>16</w:t>
      </w:r>
      <w:r w:rsidRPr="00060588">
        <w:rPr>
          <w:rFonts w:ascii="Times New Roman" w:hAnsi="Times New Roman" w:cs="Times New Roman"/>
          <w:sz w:val="24"/>
          <w:szCs w:val="24"/>
        </w:rPr>
        <w:t>.1</w:t>
      </w:r>
      <w:r w:rsidR="00195994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>.202</w:t>
      </w:r>
      <w:r w:rsidR="00195994">
        <w:rPr>
          <w:rFonts w:ascii="Times New Roman" w:hAnsi="Times New Roman" w:cs="Times New Roman"/>
          <w:sz w:val="24"/>
          <w:szCs w:val="24"/>
        </w:rPr>
        <w:t>1</w:t>
      </w:r>
      <w:r w:rsidRPr="00060588">
        <w:rPr>
          <w:rFonts w:ascii="Times New Roman" w:hAnsi="Times New Roman" w:cs="Times New Roman"/>
          <w:sz w:val="24"/>
          <w:szCs w:val="24"/>
        </w:rPr>
        <w:t xml:space="preserve"> №4-1</w:t>
      </w:r>
      <w:r w:rsidR="00195994">
        <w:rPr>
          <w:rFonts w:ascii="Times New Roman" w:hAnsi="Times New Roman" w:cs="Times New Roman"/>
          <w:sz w:val="24"/>
          <w:szCs w:val="24"/>
        </w:rPr>
        <w:t>91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решение Навлинского поселкового Совета народных депутатов от </w:t>
      </w:r>
      <w:r w:rsidR="00195994">
        <w:rPr>
          <w:rFonts w:ascii="Times New Roman" w:hAnsi="Times New Roman" w:cs="Times New Roman"/>
          <w:sz w:val="24"/>
          <w:szCs w:val="24"/>
        </w:rPr>
        <w:t>25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  <w:r w:rsidR="00195994">
        <w:rPr>
          <w:rFonts w:ascii="Times New Roman" w:hAnsi="Times New Roman" w:cs="Times New Roman"/>
          <w:sz w:val="24"/>
          <w:szCs w:val="24"/>
        </w:rPr>
        <w:t>03</w:t>
      </w:r>
      <w:r w:rsidRPr="00060588">
        <w:rPr>
          <w:rFonts w:ascii="Times New Roman" w:hAnsi="Times New Roman" w:cs="Times New Roman"/>
          <w:sz w:val="24"/>
          <w:szCs w:val="24"/>
        </w:rPr>
        <w:t>.202</w:t>
      </w:r>
      <w:r w:rsidR="00195994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№4-1</w:t>
      </w:r>
      <w:r w:rsidR="00195994">
        <w:rPr>
          <w:rFonts w:ascii="Times New Roman" w:hAnsi="Times New Roman" w:cs="Times New Roman"/>
          <w:sz w:val="24"/>
          <w:szCs w:val="24"/>
        </w:rPr>
        <w:t>57</w:t>
      </w:r>
      <w:r w:rsidRPr="00060588">
        <w:rPr>
          <w:rFonts w:ascii="Times New Roman" w:hAnsi="Times New Roman" w:cs="Times New Roman"/>
          <w:sz w:val="24"/>
          <w:szCs w:val="24"/>
        </w:rPr>
        <w:t xml:space="preserve"> «О бюджете Навлинского городского поселения Навлинского муниципального района Брянской области на 202</w:t>
      </w:r>
      <w:r w:rsidR="00195994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95994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и 202</w:t>
      </w:r>
      <w:r w:rsidR="00195994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годов» дефицит бюджета муниципального образования составил </w:t>
      </w:r>
      <w:r w:rsidR="00195994">
        <w:rPr>
          <w:rFonts w:ascii="Times New Roman" w:hAnsi="Times New Roman" w:cs="Times New Roman"/>
          <w:sz w:val="24"/>
          <w:szCs w:val="24"/>
        </w:rPr>
        <w:t>22 180,1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 руб.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Бюджет Навлинского городского поселения Навлинского муниципального района Брянской области исполнен с дефицитом в сумме </w:t>
      </w:r>
      <w:r w:rsidR="00195994">
        <w:rPr>
          <w:rFonts w:ascii="Times New Roman" w:hAnsi="Times New Roman" w:cs="Times New Roman"/>
          <w:sz w:val="24"/>
          <w:szCs w:val="24"/>
        </w:rPr>
        <w:t>515,6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22938" w:rsidRPr="00060588" w:rsidRDefault="00AE430B" w:rsidP="0012293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.1.4.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Calibri" w:hAnsi="Times New Roman" w:cs="Times New Roman"/>
          <w:b/>
          <w:sz w:val="24"/>
          <w:szCs w:val="24"/>
        </w:rPr>
        <w:t>Состояние внутреннего долга муниципального образования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2938" w:rsidRPr="00060588" w:rsidRDefault="00BC219A" w:rsidP="00122938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Навлинское городское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поселение</w:t>
      </w:r>
      <w:r w:rsidR="00122938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внутреннего долга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>не имеет.</w:t>
      </w:r>
      <w:r w:rsidR="00552C6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454B56" w:rsidRPr="00060588" w:rsidRDefault="00100307" w:rsidP="00454B56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hAnsi="Times New Roman" w:cs="Times New Roman"/>
          <w:b/>
          <w:sz w:val="24"/>
          <w:szCs w:val="24"/>
        </w:rPr>
        <w:t xml:space="preserve"> Выводы.</w:t>
      </w:r>
    </w:p>
    <w:p w:rsidR="00552C63" w:rsidRPr="00060588" w:rsidRDefault="00552C63" w:rsidP="00552C63">
      <w:pPr>
        <w:spacing w:after="0" w:line="240" w:lineRule="auto"/>
        <w:ind w:right="3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Заключения Контрольно-счетной палаты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="004C468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экспертно-аналитического мероприятия «Экспертиза и подготовка заключения на </w:t>
      </w:r>
      <w:r w:rsidR="00BA51D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об исполнении бюджета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="003B5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Брянской области» за 202</w:t>
      </w:r>
      <w:r w:rsidR="00BA51D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установлено следующее:</w:t>
      </w:r>
    </w:p>
    <w:p w:rsidR="000A4878" w:rsidRPr="00060588" w:rsidRDefault="000A4878" w:rsidP="00552C63">
      <w:pPr>
        <w:pStyle w:val="af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бюджета поселения исполнена в сумме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br/>
      </w:r>
      <w:r w:rsidR="00BA51DA">
        <w:rPr>
          <w:rFonts w:ascii="Times New Roman" w:eastAsia="Times New Roman" w:hAnsi="Times New Roman" w:cs="Times New Roman"/>
          <w:sz w:val="24"/>
          <w:szCs w:val="24"/>
        </w:rPr>
        <w:t>63 818,3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BA51DA">
        <w:rPr>
          <w:rFonts w:ascii="Times New Roman" w:eastAsia="Times New Roman" w:hAnsi="Times New Roman" w:cs="Times New Roman"/>
          <w:sz w:val="24"/>
          <w:szCs w:val="24"/>
        </w:rPr>
        <w:t xml:space="preserve">101,6 % </w:t>
      </w:r>
      <w:r w:rsidR="00E748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уточненному плану.</w:t>
      </w:r>
    </w:p>
    <w:p w:rsidR="008C77AA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20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B5F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 бюджет поселения поступило </w:t>
      </w:r>
      <w:r w:rsidR="00E9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35 678,1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налоговых и неналоговых доходов, или </w:t>
      </w:r>
      <w:r w:rsidR="00E9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</w:t>
      </w:r>
      <w:r w:rsidR="00D304A2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C219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% к плановым назначениям.</w:t>
      </w:r>
    </w:p>
    <w:p w:rsidR="000A4878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Налоговые доходы поступили в бюджет городского поселения в сумме </w:t>
      </w:r>
      <w:r w:rsidR="00E9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34 168,8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или </w:t>
      </w:r>
      <w:r w:rsidR="00E9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104,9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утвержденных плановых назначений.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удельный вес налоговых платежей составил 95,</w:t>
      </w:r>
      <w:r w:rsidR="00E9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Основными налогами, формирующими доходы бюджета поселения, являются налог на доходы физических лиц, земельный налог и налог на имущество физических лиц. 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 отчетном периоде доходы от поступления этих налогов составили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>29 704,57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или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83,3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 собственных доходов бюджета поселения.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Наибольший удельный вес в структуре собственных доходов по-прежнему остается за налогом на доходы физических лиц –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42,3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Объем поступлений НДФЛ к АППГ увеличен на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1 749,9 тыс.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руб. и составил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>15 076,7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105,4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Земельный налог в структуре собственных доходов составил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19,5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поступления к АППГ снижены на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>1 828,7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6 952,3 тыс.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руб. </w:t>
      </w:r>
      <w:r w:rsidRPr="00060588">
        <w:rPr>
          <w:rFonts w:ascii="Times New Roman" w:hAnsi="Times New Roman" w:cs="Times New Roman"/>
          <w:sz w:val="24"/>
          <w:szCs w:val="24"/>
        </w:rPr>
        <w:t xml:space="preserve">Снижение поступлений объясняется с уменьшением кадастровой стоимости </w:t>
      </w:r>
      <w:r w:rsidR="003F7649">
        <w:rPr>
          <w:rFonts w:ascii="Times New Roman" w:hAnsi="Times New Roman" w:cs="Times New Roman"/>
          <w:sz w:val="24"/>
          <w:szCs w:val="24"/>
        </w:rPr>
        <w:t>земельных участков собственниками в установленном законодательством порядке.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103,4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0561E3" w:rsidRPr="00060588" w:rsidRDefault="008C77AA" w:rsidP="008C77AA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поступлений налога на имущество физических лиц составил </w:t>
      </w:r>
      <w:r w:rsidR="002D501A">
        <w:rPr>
          <w:rFonts w:ascii="Times New Roman" w:hAnsi="Times New Roman" w:cs="Times New Roman"/>
          <w:spacing w:val="-4"/>
          <w:sz w:val="24"/>
          <w:szCs w:val="24"/>
        </w:rPr>
        <w:t xml:space="preserve">21,5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%.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br/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Неналоговые доходы исполнены в сумме </w:t>
      </w:r>
      <w:r w:rsidR="002D5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1 509,3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или </w:t>
      </w:r>
      <w:r w:rsidR="002D50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101,2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 утвержденных плановых назначений.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В отчетном периоде в бюджет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поступили доходы от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продажи имущества и земельных учас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ков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8459D">
        <w:rPr>
          <w:rFonts w:ascii="Times New Roman" w:eastAsia="Times New Roman" w:hAnsi="Times New Roman" w:cs="Times New Roman"/>
          <w:sz w:val="24"/>
          <w:szCs w:val="24"/>
        </w:rPr>
        <w:t>778,1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4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F41" w:rsidRPr="00060588" w:rsidRDefault="006F5F41" w:rsidP="008C77AA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доходы от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арендной платы- 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>497,6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, штрафные санкции 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>234,9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прочие доходы 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 xml:space="preserve">-1,3 тыс.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 xml:space="preserve"> (возврат прочих поступлений за прошлый год)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F41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</w:t>
      </w:r>
      <w:r w:rsidR="00DC49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6F5F41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безвозмездные поступления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других бюджетов бюджетной системы Российской Федерации в бюджет городского поселения поступили в сумме </w:t>
      </w:r>
      <w:r w:rsidR="00DC49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28 140,2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или </w:t>
      </w:r>
      <w:r w:rsidR="00DC49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97,8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0561E3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уточненного плана.</w:t>
      </w:r>
    </w:p>
    <w:p w:rsidR="006F5F41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Структура безвозмездных поступлений сложилась следующим образом: </w:t>
      </w:r>
    </w:p>
    <w:p w:rsidR="006F5F41" w:rsidRPr="00060588" w:rsidRDefault="006F5F41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субвенции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0,02 тыс. рублей</w:t>
      </w:r>
    </w:p>
    <w:p w:rsidR="006F5F41" w:rsidRPr="00060588" w:rsidRDefault="006F5F41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- субсидии – 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>27 957,6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4878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54B56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B5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Расходная часть</w:t>
      </w:r>
      <w:r w:rsidR="000A487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бюджета поселения за 20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исполнена в сумме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64 333,9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 xml:space="preserve">75,7 </w:t>
      </w:r>
      <w:r w:rsidR="005B3CA3">
        <w:rPr>
          <w:rFonts w:ascii="Times New Roman" w:eastAsia="Times New Roman" w:hAnsi="Times New Roman" w:cs="Times New Roman"/>
          <w:sz w:val="24"/>
          <w:szCs w:val="24"/>
        </w:rPr>
        <w:t xml:space="preserve">% уточненного плана.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структуре расх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 xml:space="preserve">одов занимают расходы разделов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04A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CE" w:rsidRPr="00060588">
        <w:rPr>
          <w:rFonts w:ascii="Times New Roman" w:eastAsia="Times New Roman" w:hAnsi="Times New Roman" w:cs="Times New Roman"/>
          <w:sz w:val="24"/>
          <w:szCs w:val="24"/>
        </w:rPr>
        <w:t>«Жилищно-коммунальное хозяйство»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 xml:space="preserve">40,4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A70B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«Национальная экономика» –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 xml:space="preserve">44,5 </w:t>
      </w:r>
      <w:r w:rsidR="00D304A2" w:rsidRPr="000605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F41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54B56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54B56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0BCE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202</w:t>
      </w:r>
      <w:r w:rsidR="004C1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бюджет </w:t>
      </w:r>
      <w:r w:rsidR="000561E3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Навлинского</w:t>
      </w:r>
      <w:r w:rsidR="00D726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исполнен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515,6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года остаток средств на счете бюджета составлял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22 180,1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В результате исполнения бюджета остаток средств на счете по учету средств бюджета поселения уменьшился на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515,7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конец 202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21 664,4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B3CA3" w:rsidRDefault="00552C63" w:rsidP="005B3CA3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B3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4B56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54B56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Навлинское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="00692B49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 муниципального внутреннего долга не имеет.</w:t>
      </w:r>
      <w:r w:rsidR="00D304A2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B49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периоде привлечение внутренних заимствований и предоставление муниципал</w:t>
      </w:r>
      <w:r w:rsidR="005B3CA3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гарантий не производилось.</w:t>
      </w:r>
    </w:p>
    <w:p w:rsidR="005B3CA3" w:rsidRPr="005B3CA3" w:rsidRDefault="005B3CA3" w:rsidP="005B3CA3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5. </w:t>
      </w:r>
      <w:r w:rsidRPr="00406756">
        <w:rPr>
          <w:rFonts w:ascii="Times New Roman" w:hAnsi="Times New Roman"/>
          <w:sz w:val="24"/>
          <w:szCs w:val="24"/>
          <w:lang w:eastAsia="ar-SA"/>
        </w:rPr>
        <w:t xml:space="preserve">В соответствии с Отчетом об </w:t>
      </w:r>
      <w:r>
        <w:rPr>
          <w:rFonts w:ascii="Times New Roman" w:hAnsi="Times New Roman"/>
          <w:sz w:val="24"/>
          <w:szCs w:val="24"/>
          <w:lang w:eastAsia="ar-SA"/>
        </w:rPr>
        <w:t>исполнении расходной части бюджета Навлинского городского поселения в</w:t>
      </w:r>
      <w:r w:rsidRPr="00406756">
        <w:rPr>
          <w:rFonts w:ascii="Times New Roman" w:hAnsi="Times New Roman"/>
          <w:sz w:val="24"/>
          <w:szCs w:val="24"/>
          <w:lang w:eastAsia="ar-SA"/>
        </w:rPr>
        <w:t xml:space="preserve"> 2022</w:t>
      </w:r>
      <w:r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 w:rsidRPr="00406756">
        <w:rPr>
          <w:rFonts w:ascii="Times New Roman" w:hAnsi="Times New Roman"/>
          <w:sz w:val="24"/>
          <w:szCs w:val="24"/>
          <w:lang w:eastAsia="ar-SA"/>
        </w:rPr>
        <w:t xml:space="preserve"> расходы производились</w:t>
      </w:r>
      <w:r>
        <w:rPr>
          <w:rFonts w:ascii="Times New Roman" w:hAnsi="Times New Roman"/>
          <w:sz w:val="26"/>
          <w:szCs w:val="26"/>
          <w:lang w:eastAsia="ar-SA"/>
        </w:rPr>
        <w:t xml:space="preserve"> на взыскание штрафа за сброс сточных вод в сумме 160,0 тыс. рублей (распоряжение №160-р от 11.04.22г.; №12-39/2022 от 12.10.22 г), взыскание штрафа за содержание дорог в сумме 50,0 тыс. рублей (распоряжение № 227-р от 17.05.22г.)</w:t>
      </w:r>
    </w:p>
    <w:p w:rsidR="005B3CA3" w:rsidRPr="006D4A7D" w:rsidRDefault="005B3CA3" w:rsidP="005B3CA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Отмечается: нарушен принцип результативности и эффективности использования бюджетных средств (ст. 34 БК РФ), выразившаяся в оплате за счет бюджетных средств штрафов. </w:t>
      </w:r>
    </w:p>
    <w:p w:rsidR="005B3CA3" w:rsidRPr="006D4A7D" w:rsidRDefault="005B3CA3" w:rsidP="005B3CA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Данный факт расценивается как неэффективное использование бюджетных средств в сумме </w:t>
      </w:r>
      <w:r>
        <w:rPr>
          <w:rFonts w:ascii="Times New Roman" w:hAnsi="Times New Roman"/>
          <w:i/>
          <w:color w:val="000000"/>
          <w:sz w:val="24"/>
          <w:szCs w:val="24"/>
        </w:rPr>
        <w:t>210</w:t>
      </w:r>
      <w:r w:rsidRPr="006D4A7D">
        <w:rPr>
          <w:rFonts w:ascii="Times New Roman" w:hAnsi="Times New Roman"/>
          <w:i/>
          <w:color w:val="000000"/>
          <w:sz w:val="24"/>
          <w:szCs w:val="24"/>
        </w:rPr>
        <w:t>,0 тыс. рублей.</w:t>
      </w:r>
    </w:p>
    <w:p w:rsidR="00552C63" w:rsidRPr="00060588" w:rsidRDefault="00552C63" w:rsidP="008C5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7FF" w:rsidRDefault="002379B3" w:rsidP="00454B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347FF" w:rsidRDefault="005347FF" w:rsidP="00454B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347FF" w:rsidRDefault="005347FF" w:rsidP="00454B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379B3" w:rsidRPr="00060588" w:rsidRDefault="002379B3" w:rsidP="00454B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Предложения.</w:t>
      </w:r>
    </w:p>
    <w:p w:rsidR="00552C63" w:rsidRPr="00060588" w:rsidRDefault="00552C63" w:rsidP="00552C63">
      <w:pPr>
        <w:spacing w:line="240" w:lineRule="auto"/>
        <w:ind w:right="19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 действующим законодательством Контрольно – счетная палата 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Pr="00060588">
        <w:rPr>
          <w:rFonts w:ascii="Times New Roman" w:hAnsi="Times New Roman" w:cs="Times New Roman"/>
          <w:sz w:val="24"/>
          <w:szCs w:val="24"/>
        </w:rPr>
        <w:t xml:space="preserve">муниципального района предлагает: </w:t>
      </w:r>
    </w:p>
    <w:p w:rsidR="00552C63" w:rsidRPr="00060588" w:rsidRDefault="00552C63" w:rsidP="00552C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Направить Заключение по результатам экспертно- аналитического</w:t>
      </w:r>
    </w:p>
    <w:p w:rsidR="00552C63" w:rsidRPr="00060588" w:rsidRDefault="00552C63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мероприятия «Экспертиза и подготовка заключен</w:t>
      </w:r>
      <w:r w:rsidR="00D726F7">
        <w:rPr>
          <w:rFonts w:ascii="Times New Roman" w:hAnsi="Times New Roman" w:cs="Times New Roman"/>
          <w:sz w:val="24"/>
          <w:szCs w:val="24"/>
        </w:rPr>
        <w:t xml:space="preserve">ия на отчет </w:t>
      </w:r>
      <w:r w:rsidRPr="00060588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26816">
        <w:rPr>
          <w:rFonts w:ascii="Times New Roman" w:hAnsi="Times New Roman" w:cs="Times New Roman"/>
          <w:sz w:val="24"/>
          <w:szCs w:val="24"/>
        </w:rPr>
        <w:t xml:space="preserve">района Брянской области района </w:t>
      </w:r>
      <w:r w:rsidRPr="00060588">
        <w:rPr>
          <w:rFonts w:ascii="Times New Roman" w:hAnsi="Times New Roman" w:cs="Times New Roman"/>
          <w:sz w:val="24"/>
          <w:szCs w:val="24"/>
        </w:rPr>
        <w:t>за 202</w:t>
      </w:r>
      <w:r w:rsidR="00726816">
        <w:rPr>
          <w:rFonts w:ascii="Times New Roman" w:hAnsi="Times New Roman" w:cs="Times New Roman"/>
          <w:sz w:val="24"/>
          <w:szCs w:val="24"/>
        </w:rPr>
        <w:t>2</w:t>
      </w:r>
      <w:r w:rsidR="00265AB3">
        <w:rPr>
          <w:rFonts w:ascii="Times New Roman" w:hAnsi="Times New Roman" w:cs="Times New Roman"/>
          <w:sz w:val="24"/>
          <w:szCs w:val="24"/>
        </w:rPr>
        <w:t xml:space="preserve"> год" </w:t>
      </w:r>
      <w:r w:rsidR="002065D3">
        <w:rPr>
          <w:rFonts w:ascii="Times New Roman" w:hAnsi="Times New Roman" w:cs="Times New Roman"/>
          <w:sz w:val="24"/>
          <w:szCs w:val="24"/>
        </w:rPr>
        <w:t xml:space="preserve">в </w:t>
      </w:r>
      <w:r w:rsidRPr="00060588">
        <w:rPr>
          <w:rFonts w:ascii="Times New Roman" w:hAnsi="Times New Roman" w:cs="Times New Roman"/>
          <w:sz w:val="24"/>
          <w:szCs w:val="24"/>
        </w:rPr>
        <w:t>Совет народных депутатов п.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 Навля</w:t>
      </w:r>
      <w:r w:rsidR="00BB7B22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с рекомендацией рассмотреть </w:t>
      </w:r>
      <w:r w:rsidR="00BB7B22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</w:t>
      </w:r>
      <w:r w:rsidRPr="00060588">
        <w:rPr>
          <w:rFonts w:ascii="Times New Roman" w:hAnsi="Times New Roman" w:cs="Times New Roman"/>
          <w:sz w:val="24"/>
          <w:szCs w:val="24"/>
        </w:rPr>
        <w:t>отчета об исполне</w:t>
      </w:r>
      <w:r w:rsidR="00BB7B22">
        <w:rPr>
          <w:rFonts w:ascii="Times New Roman" w:hAnsi="Times New Roman" w:cs="Times New Roman"/>
          <w:sz w:val="24"/>
          <w:szCs w:val="24"/>
        </w:rPr>
        <w:t xml:space="preserve">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="00C33470" w:rsidRPr="00060588">
        <w:rPr>
          <w:rFonts w:ascii="Times New Roman" w:hAnsi="Times New Roman" w:cs="Times New Roman"/>
          <w:sz w:val="24"/>
          <w:szCs w:val="24"/>
        </w:rPr>
        <w:t>городского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за 202</w:t>
      </w:r>
      <w:r w:rsidR="00F60AB2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52C63" w:rsidRPr="00060588" w:rsidRDefault="00552C63" w:rsidP="00552C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Направить Заключение по результатам экспертно- аналитического</w:t>
      </w:r>
    </w:p>
    <w:p w:rsidR="00552C63" w:rsidRPr="00060588" w:rsidRDefault="00552C63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мероприятия «Экспертиза и </w:t>
      </w:r>
      <w:r w:rsidR="00265AB3">
        <w:rPr>
          <w:rFonts w:ascii="Times New Roman" w:hAnsi="Times New Roman" w:cs="Times New Roman"/>
          <w:sz w:val="24"/>
          <w:szCs w:val="24"/>
        </w:rPr>
        <w:t xml:space="preserve">подготовка заключения на отчет </w:t>
      </w:r>
      <w:r w:rsidRPr="00060588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="00C33470" w:rsidRPr="0006058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BB7B22">
        <w:rPr>
          <w:rFonts w:ascii="Times New Roman" w:hAnsi="Times New Roman" w:cs="Times New Roman"/>
          <w:sz w:val="24"/>
          <w:szCs w:val="24"/>
        </w:rPr>
        <w:t xml:space="preserve">льного района Брянской области </w:t>
      </w:r>
      <w:r w:rsidRPr="00060588">
        <w:rPr>
          <w:rFonts w:ascii="Times New Roman" w:hAnsi="Times New Roman" w:cs="Times New Roman"/>
          <w:sz w:val="24"/>
          <w:szCs w:val="24"/>
        </w:rPr>
        <w:t>за 202</w:t>
      </w:r>
      <w:r w:rsidR="00BB7B22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год"    в администрацию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="00BB7B2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60588">
        <w:rPr>
          <w:rFonts w:ascii="Times New Roman" w:hAnsi="Times New Roman" w:cs="Times New Roman"/>
          <w:sz w:val="24"/>
          <w:szCs w:val="24"/>
        </w:rPr>
        <w:t xml:space="preserve"> с предложениями:</w:t>
      </w:r>
    </w:p>
    <w:p w:rsidR="00365676" w:rsidRDefault="00552C63" w:rsidP="00534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7FF">
        <w:rPr>
          <w:rFonts w:ascii="Times New Roman" w:hAnsi="Times New Roman" w:cs="Times New Roman"/>
          <w:sz w:val="24"/>
          <w:szCs w:val="24"/>
        </w:rPr>
        <w:t xml:space="preserve">      </w:t>
      </w:r>
      <w:r w:rsidRPr="00060588">
        <w:rPr>
          <w:rFonts w:ascii="Times New Roman" w:hAnsi="Times New Roman" w:cs="Times New Roman"/>
          <w:sz w:val="24"/>
          <w:szCs w:val="24"/>
        </w:rPr>
        <w:t xml:space="preserve">2.1. </w:t>
      </w:r>
      <w:r w:rsidR="00365676" w:rsidRPr="00365676">
        <w:rPr>
          <w:rFonts w:ascii="Times New Roman" w:hAnsi="Times New Roman" w:cs="Times New Roman"/>
          <w:sz w:val="24"/>
          <w:szCs w:val="24"/>
        </w:rPr>
        <w:t>Главным распорядителям средств бюджета</w:t>
      </w:r>
      <w:r w:rsidR="00365676">
        <w:rPr>
          <w:rFonts w:ascii="Times New Roman" w:hAnsi="Times New Roman" w:cs="Times New Roman"/>
          <w:sz w:val="24"/>
          <w:szCs w:val="24"/>
        </w:rPr>
        <w:t>: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5347FF" w:rsidRDefault="00365676" w:rsidP="0053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6">
        <w:rPr>
          <w:rFonts w:ascii="Times New Roman" w:hAnsi="Times New Roman" w:cs="Times New Roman"/>
          <w:sz w:val="24"/>
          <w:szCs w:val="24"/>
        </w:rPr>
        <w:t>принять меры к обеспечению выполнения плановых показателей и их финансированию;</w:t>
      </w:r>
    </w:p>
    <w:p w:rsidR="00C539F2" w:rsidRPr="00C539F2" w:rsidRDefault="00C539F2" w:rsidP="0053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9F2">
        <w:rPr>
          <w:rFonts w:ascii="Times New Roman" w:hAnsi="Times New Roman" w:cs="Times New Roman"/>
          <w:sz w:val="24"/>
          <w:szCs w:val="24"/>
        </w:rPr>
        <w:t>проанализировать причины невыполнения плановых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C63" w:rsidRPr="00060588" w:rsidRDefault="005347FF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52C6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52C63" w:rsidRPr="00060588">
        <w:rPr>
          <w:rFonts w:ascii="Times New Roman" w:hAnsi="Times New Roman" w:cs="Times New Roman"/>
          <w:sz w:val="24"/>
          <w:szCs w:val="24"/>
        </w:rPr>
        <w:t xml:space="preserve">Обеспечить контроль за соблюдением требований ст. 34 Бюджетного кодекса РФ (принцип результативности и эффективности использования бюджетных средств) при исполнении расходных обязательств. </w:t>
      </w:r>
    </w:p>
    <w:p w:rsidR="007D7196" w:rsidRPr="00060588" w:rsidRDefault="007D7196" w:rsidP="007D71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5F41" w:rsidRPr="00060588" w:rsidRDefault="007D7196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E436B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заключение</w:t>
      </w:r>
      <w:r w:rsidR="006E436B" w:rsidRPr="00060588">
        <w:rPr>
          <w:rFonts w:ascii="Times New Roman" w:hAnsi="Times New Roman" w:cs="Times New Roman"/>
          <w:sz w:val="24"/>
          <w:szCs w:val="24"/>
        </w:rPr>
        <w:t xml:space="preserve"> составлено на </w:t>
      </w:r>
      <w:r w:rsidR="005347FF">
        <w:rPr>
          <w:rFonts w:ascii="Times New Roman" w:hAnsi="Times New Roman" w:cs="Times New Roman"/>
          <w:sz w:val="24"/>
          <w:szCs w:val="24"/>
        </w:rPr>
        <w:t>21</w:t>
      </w:r>
      <w:r w:rsidR="006E436B" w:rsidRPr="00060588">
        <w:rPr>
          <w:rFonts w:ascii="Times New Roman" w:hAnsi="Times New Roman" w:cs="Times New Roman"/>
          <w:sz w:val="24"/>
          <w:szCs w:val="24"/>
        </w:rPr>
        <w:t xml:space="preserve"> листах  в трех экземплярах: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ab/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1 экз.- Контрольно-счетная палата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2 экз.- Совет народных депутатов п.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 Навля</w:t>
      </w:r>
      <w:r w:rsidRPr="00060588">
        <w:rPr>
          <w:rFonts w:ascii="Times New Roman" w:hAnsi="Times New Roman" w:cs="Times New Roman"/>
          <w:sz w:val="24"/>
          <w:szCs w:val="24"/>
        </w:rPr>
        <w:t>;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3 экз.- Администрация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E0F45" w:rsidRPr="00060588" w:rsidRDefault="004E0F45" w:rsidP="00454B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A41" w:rsidRPr="00060588" w:rsidRDefault="008C57A2" w:rsidP="00E34A4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="005347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347FF">
        <w:rPr>
          <w:rFonts w:ascii="Times New Roman" w:eastAsia="Times New Roman" w:hAnsi="Times New Roman" w:cs="Times New Roman"/>
          <w:sz w:val="24"/>
          <w:szCs w:val="24"/>
        </w:rPr>
        <w:t>Е.П. Мурач</w:t>
      </w:r>
    </w:p>
    <w:p w:rsidR="00E34A41" w:rsidRPr="00060588" w:rsidRDefault="005347FF" w:rsidP="00E34A4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E34A41" w:rsidRPr="00060588" w:rsidSect="00E110E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95B" w:rsidRDefault="00DF795B" w:rsidP="0053509B">
      <w:pPr>
        <w:spacing w:after="0" w:line="240" w:lineRule="auto"/>
      </w:pPr>
      <w:r>
        <w:separator/>
      </w:r>
    </w:p>
  </w:endnote>
  <w:endnote w:type="continuationSeparator" w:id="0">
    <w:p w:rsidR="00DF795B" w:rsidRDefault="00DF795B" w:rsidP="0053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0184"/>
    </w:sdtPr>
    <w:sdtEndPr/>
    <w:sdtContent>
      <w:p w:rsidR="00365676" w:rsidRDefault="0036567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8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5676" w:rsidRDefault="0036567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9186"/>
    </w:sdtPr>
    <w:sdtEndPr/>
    <w:sdtContent>
      <w:p w:rsidR="00365676" w:rsidRDefault="0036567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8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676" w:rsidRDefault="003656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95B" w:rsidRDefault="00DF795B" w:rsidP="0053509B">
      <w:pPr>
        <w:spacing w:after="0" w:line="240" w:lineRule="auto"/>
      </w:pPr>
      <w:r>
        <w:separator/>
      </w:r>
    </w:p>
  </w:footnote>
  <w:footnote w:type="continuationSeparator" w:id="0">
    <w:p w:rsidR="00DF795B" w:rsidRDefault="00DF795B" w:rsidP="0053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76" w:rsidRDefault="00365676" w:rsidP="00E110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365676" w:rsidRDefault="003656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76" w:rsidRDefault="00365676">
    <w:pPr>
      <w:pStyle w:val="a4"/>
      <w:jc w:val="center"/>
    </w:pPr>
  </w:p>
  <w:p w:rsidR="00365676" w:rsidRDefault="003656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76" w:rsidRDefault="00365676">
    <w:pPr>
      <w:pStyle w:val="a4"/>
      <w:jc w:val="center"/>
    </w:pPr>
  </w:p>
  <w:p w:rsidR="00365676" w:rsidRDefault="003656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6F3"/>
    <w:multiLevelType w:val="hybridMultilevel"/>
    <w:tmpl w:val="4C445A94"/>
    <w:lvl w:ilvl="0" w:tplc="AFBEB7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771"/>
    <w:multiLevelType w:val="hybridMultilevel"/>
    <w:tmpl w:val="C6D21160"/>
    <w:lvl w:ilvl="0" w:tplc="C2F6C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4" w15:restartNumberingAfterBreak="0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938"/>
    <w:rsid w:val="00006C8B"/>
    <w:rsid w:val="00007634"/>
    <w:rsid w:val="00027660"/>
    <w:rsid w:val="00030CFF"/>
    <w:rsid w:val="00031356"/>
    <w:rsid w:val="000417A9"/>
    <w:rsid w:val="00042CA4"/>
    <w:rsid w:val="000555F9"/>
    <w:rsid w:val="000561E3"/>
    <w:rsid w:val="00060588"/>
    <w:rsid w:val="00066AFF"/>
    <w:rsid w:val="00077E12"/>
    <w:rsid w:val="000820FF"/>
    <w:rsid w:val="00084987"/>
    <w:rsid w:val="000851D8"/>
    <w:rsid w:val="0008780F"/>
    <w:rsid w:val="000A4878"/>
    <w:rsid w:val="000B0595"/>
    <w:rsid w:val="000B2CF9"/>
    <w:rsid w:val="000C3A51"/>
    <w:rsid w:val="000C3B2C"/>
    <w:rsid w:val="000C4CDE"/>
    <w:rsid w:val="000D29AD"/>
    <w:rsid w:val="000D355E"/>
    <w:rsid w:val="000E1745"/>
    <w:rsid w:val="000E56BC"/>
    <w:rsid w:val="000E7E6B"/>
    <w:rsid w:val="000F044C"/>
    <w:rsid w:val="000F3C16"/>
    <w:rsid w:val="00100307"/>
    <w:rsid w:val="0010592A"/>
    <w:rsid w:val="001065DC"/>
    <w:rsid w:val="001114C0"/>
    <w:rsid w:val="00122938"/>
    <w:rsid w:val="001349D7"/>
    <w:rsid w:val="001472FF"/>
    <w:rsid w:val="00150B46"/>
    <w:rsid w:val="00152705"/>
    <w:rsid w:val="00153F43"/>
    <w:rsid w:val="00160F10"/>
    <w:rsid w:val="00163E64"/>
    <w:rsid w:val="001649BC"/>
    <w:rsid w:val="00166856"/>
    <w:rsid w:val="00195994"/>
    <w:rsid w:val="001976CF"/>
    <w:rsid w:val="001A1ED1"/>
    <w:rsid w:val="001A4A92"/>
    <w:rsid w:val="001B1B19"/>
    <w:rsid w:val="001C12A4"/>
    <w:rsid w:val="001C1C0A"/>
    <w:rsid w:val="001D0340"/>
    <w:rsid w:val="001D6C06"/>
    <w:rsid w:val="001E1630"/>
    <w:rsid w:val="001E7921"/>
    <w:rsid w:val="001F4917"/>
    <w:rsid w:val="00200D94"/>
    <w:rsid w:val="00205D3E"/>
    <w:rsid w:val="002065D3"/>
    <w:rsid w:val="00234019"/>
    <w:rsid w:val="0023508C"/>
    <w:rsid w:val="00236AF4"/>
    <w:rsid w:val="002379B3"/>
    <w:rsid w:val="00240DAE"/>
    <w:rsid w:val="002605E6"/>
    <w:rsid w:val="00265AB3"/>
    <w:rsid w:val="00277D40"/>
    <w:rsid w:val="00296FD4"/>
    <w:rsid w:val="00297E81"/>
    <w:rsid w:val="002A3B87"/>
    <w:rsid w:val="002A5902"/>
    <w:rsid w:val="002B678C"/>
    <w:rsid w:val="002B69D4"/>
    <w:rsid w:val="002C15BE"/>
    <w:rsid w:val="002C70D1"/>
    <w:rsid w:val="002C7E0C"/>
    <w:rsid w:val="002D28FF"/>
    <w:rsid w:val="002D501A"/>
    <w:rsid w:val="002E2C9C"/>
    <w:rsid w:val="002F65B3"/>
    <w:rsid w:val="002F7AC7"/>
    <w:rsid w:val="0030446D"/>
    <w:rsid w:val="003075DD"/>
    <w:rsid w:val="00307631"/>
    <w:rsid w:val="00307764"/>
    <w:rsid w:val="00317D75"/>
    <w:rsid w:val="00324274"/>
    <w:rsid w:val="0032692F"/>
    <w:rsid w:val="00330A99"/>
    <w:rsid w:val="00341F16"/>
    <w:rsid w:val="00365676"/>
    <w:rsid w:val="00370BFA"/>
    <w:rsid w:val="003716FB"/>
    <w:rsid w:val="003836DC"/>
    <w:rsid w:val="00384B75"/>
    <w:rsid w:val="003B0C22"/>
    <w:rsid w:val="003B10E2"/>
    <w:rsid w:val="003B5FCB"/>
    <w:rsid w:val="003C28AD"/>
    <w:rsid w:val="003C5875"/>
    <w:rsid w:val="003C7F7F"/>
    <w:rsid w:val="003D0D4A"/>
    <w:rsid w:val="003F217E"/>
    <w:rsid w:val="003F3124"/>
    <w:rsid w:val="003F7160"/>
    <w:rsid w:val="003F7649"/>
    <w:rsid w:val="0042247E"/>
    <w:rsid w:val="004233D9"/>
    <w:rsid w:val="00423497"/>
    <w:rsid w:val="00431F56"/>
    <w:rsid w:val="004400ED"/>
    <w:rsid w:val="00446ACE"/>
    <w:rsid w:val="00454B56"/>
    <w:rsid w:val="00457836"/>
    <w:rsid w:val="00457AD1"/>
    <w:rsid w:val="00461C3E"/>
    <w:rsid w:val="004703B9"/>
    <w:rsid w:val="00483408"/>
    <w:rsid w:val="0048459D"/>
    <w:rsid w:val="004A207D"/>
    <w:rsid w:val="004A3BBC"/>
    <w:rsid w:val="004C1BA7"/>
    <w:rsid w:val="004C3C58"/>
    <w:rsid w:val="004C4689"/>
    <w:rsid w:val="004D1B6C"/>
    <w:rsid w:val="004E0F45"/>
    <w:rsid w:val="005011CB"/>
    <w:rsid w:val="00503196"/>
    <w:rsid w:val="00503281"/>
    <w:rsid w:val="00506521"/>
    <w:rsid w:val="0051238A"/>
    <w:rsid w:val="005173DB"/>
    <w:rsid w:val="00522CFD"/>
    <w:rsid w:val="005247B3"/>
    <w:rsid w:val="0053059D"/>
    <w:rsid w:val="00532732"/>
    <w:rsid w:val="005347FF"/>
    <w:rsid w:val="0053509B"/>
    <w:rsid w:val="0054683B"/>
    <w:rsid w:val="00552C63"/>
    <w:rsid w:val="0055740A"/>
    <w:rsid w:val="00575E84"/>
    <w:rsid w:val="00586DD7"/>
    <w:rsid w:val="0059238B"/>
    <w:rsid w:val="005B1E4A"/>
    <w:rsid w:val="005B3CA3"/>
    <w:rsid w:val="005B3E2C"/>
    <w:rsid w:val="005D17F3"/>
    <w:rsid w:val="005D262D"/>
    <w:rsid w:val="005D31BA"/>
    <w:rsid w:val="005D6AD6"/>
    <w:rsid w:val="005E18F3"/>
    <w:rsid w:val="005E7829"/>
    <w:rsid w:val="005F152A"/>
    <w:rsid w:val="005F29B7"/>
    <w:rsid w:val="005F7B49"/>
    <w:rsid w:val="00604421"/>
    <w:rsid w:val="006049B6"/>
    <w:rsid w:val="00606379"/>
    <w:rsid w:val="00607138"/>
    <w:rsid w:val="00627072"/>
    <w:rsid w:val="006559E1"/>
    <w:rsid w:val="00663B4A"/>
    <w:rsid w:val="00677B5B"/>
    <w:rsid w:val="006834DE"/>
    <w:rsid w:val="006868B0"/>
    <w:rsid w:val="006905E0"/>
    <w:rsid w:val="00692B49"/>
    <w:rsid w:val="006A629C"/>
    <w:rsid w:val="006B070B"/>
    <w:rsid w:val="006C3D36"/>
    <w:rsid w:val="006C6176"/>
    <w:rsid w:val="006C7D34"/>
    <w:rsid w:val="006D3A6E"/>
    <w:rsid w:val="006D77EF"/>
    <w:rsid w:val="006E07B0"/>
    <w:rsid w:val="006E436B"/>
    <w:rsid w:val="006E43D3"/>
    <w:rsid w:val="006E5337"/>
    <w:rsid w:val="006E7155"/>
    <w:rsid w:val="006F5F41"/>
    <w:rsid w:val="00703ACC"/>
    <w:rsid w:val="00704DB7"/>
    <w:rsid w:val="00717FA7"/>
    <w:rsid w:val="00726816"/>
    <w:rsid w:val="00736E51"/>
    <w:rsid w:val="007437AA"/>
    <w:rsid w:val="007437BC"/>
    <w:rsid w:val="0075199F"/>
    <w:rsid w:val="00751FB1"/>
    <w:rsid w:val="00752347"/>
    <w:rsid w:val="007558D3"/>
    <w:rsid w:val="00760EB1"/>
    <w:rsid w:val="00761346"/>
    <w:rsid w:val="00771173"/>
    <w:rsid w:val="00774410"/>
    <w:rsid w:val="00774579"/>
    <w:rsid w:val="00775BC1"/>
    <w:rsid w:val="007827AE"/>
    <w:rsid w:val="00784D2C"/>
    <w:rsid w:val="007A0A9A"/>
    <w:rsid w:val="007A6117"/>
    <w:rsid w:val="007A6B46"/>
    <w:rsid w:val="007B689D"/>
    <w:rsid w:val="007B6A1E"/>
    <w:rsid w:val="007D7196"/>
    <w:rsid w:val="007D7CD4"/>
    <w:rsid w:val="007F424C"/>
    <w:rsid w:val="007F530B"/>
    <w:rsid w:val="00813633"/>
    <w:rsid w:val="008178A3"/>
    <w:rsid w:val="008375F6"/>
    <w:rsid w:val="00855E35"/>
    <w:rsid w:val="00865650"/>
    <w:rsid w:val="00866BC0"/>
    <w:rsid w:val="00876603"/>
    <w:rsid w:val="008774EB"/>
    <w:rsid w:val="008A5693"/>
    <w:rsid w:val="008A597D"/>
    <w:rsid w:val="008B71BB"/>
    <w:rsid w:val="008C57A2"/>
    <w:rsid w:val="008C73C7"/>
    <w:rsid w:val="008C77AA"/>
    <w:rsid w:val="008D5F1C"/>
    <w:rsid w:val="008E49F5"/>
    <w:rsid w:val="008F463B"/>
    <w:rsid w:val="00910723"/>
    <w:rsid w:val="0092421D"/>
    <w:rsid w:val="00936A50"/>
    <w:rsid w:val="00936EDC"/>
    <w:rsid w:val="00944221"/>
    <w:rsid w:val="0095282C"/>
    <w:rsid w:val="00967073"/>
    <w:rsid w:val="009751D6"/>
    <w:rsid w:val="0099071E"/>
    <w:rsid w:val="0099081D"/>
    <w:rsid w:val="00990C8C"/>
    <w:rsid w:val="009A18AB"/>
    <w:rsid w:val="009B05A8"/>
    <w:rsid w:val="009B7FE4"/>
    <w:rsid w:val="009C27FE"/>
    <w:rsid w:val="009C4DC2"/>
    <w:rsid w:val="009C5322"/>
    <w:rsid w:val="009C5599"/>
    <w:rsid w:val="009C58CE"/>
    <w:rsid w:val="00A11E01"/>
    <w:rsid w:val="00A15F7B"/>
    <w:rsid w:val="00A26B77"/>
    <w:rsid w:val="00A3754B"/>
    <w:rsid w:val="00A375B2"/>
    <w:rsid w:val="00A400B8"/>
    <w:rsid w:val="00A52EE4"/>
    <w:rsid w:val="00A617C8"/>
    <w:rsid w:val="00A70BCE"/>
    <w:rsid w:val="00A75FE9"/>
    <w:rsid w:val="00A9445E"/>
    <w:rsid w:val="00AA54F8"/>
    <w:rsid w:val="00AC1883"/>
    <w:rsid w:val="00AE430B"/>
    <w:rsid w:val="00AE5275"/>
    <w:rsid w:val="00AF3D04"/>
    <w:rsid w:val="00B013D9"/>
    <w:rsid w:val="00B1362E"/>
    <w:rsid w:val="00B155A7"/>
    <w:rsid w:val="00B4353B"/>
    <w:rsid w:val="00B55EBB"/>
    <w:rsid w:val="00B56BFA"/>
    <w:rsid w:val="00B650DA"/>
    <w:rsid w:val="00B7239B"/>
    <w:rsid w:val="00B7429D"/>
    <w:rsid w:val="00B76C80"/>
    <w:rsid w:val="00B86438"/>
    <w:rsid w:val="00B93883"/>
    <w:rsid w:val="00BA51DA"/>
    <w:rsid w:val="00BB7B22"/>
    <w:rsid w:val="00BC08CF"/>
    <w:rsid w:val="00BC219A"/>
    <w:rsid w:val="00BE10A5"/>
    <w:rsid w:val="00BE123C"/>
    <w:rsid w:val="00BE17B0"/>
    <w:rsid w:val="00BE5F1F"/>
    <w:rsid w:val="00BF68FE"/>
    <w:rsid w:val="00BF739E"/>
    <w:rsid w:val="00C15897"/>
    <w:rsid w:val="00C15BA9"/>
    <w:rsid w:val="00C21778"/>
    <w:rsid w:val="00C21D99"/>
    <w:rsid w:val="00C33470"/>
    <w:rsid w:val="00C50FED"/>
    <w:rsid w:val="00C51DD0"/>
    <w:rsid w:val="00C539F2"/>
    <w:rsid w:val="00C73879"/>
    <w:rsid w:val="00C81AEB"/>
    <w:rsid w:val="00C94802"/>
    <w:rsid w:val="00C95DD4"/>
    <w:rsid w:val="00C95E8B"/>
    <w:rsid w:val="00C962C0"/>
    <w:rsid w:val="00CB2CC9"/>
    <w:rsid w:val="00CC0689"/>
    <w:rsid w:val="00CC274F"/>
    <w:rsid w:val="00CD52E3"/>
    <w:rsid w:val="00CE0B36"/>
    <w:rsid w:val="00CE6504"/>
    <w:rsid w:val="00D01DD6"/>
    <w:rsid w:val="00D05763"/>
    <w:rsid w:val="00D0696F"/>
    <w:rsid w:val="00D06AF4"/>
    <w:rsid w:val="00D1277C"/>
    <w:rsid w:val="00D264A9"/>
    <w:rsid w:val="00D3000C"/>
    <w:rsid w:val="00D304A2"/>
    <w:rsid w:val="00D30EEE"/>
    <w:rsid w:val="00D339CC"/>
    <w:rsid w:val="00D4715E"/>
    <w:rsid w:val="00D51D28"/>
    <w:rsid w:val="00D578A9"/>
    <w:rsid w:val="00D64B82"/>
    <w:rsid w:val="00D64BF0"/>
    <w:rsid w:val="00D6703F"/>
    <w:rsid w:val="00D726F7"/>
    <w:rsid w:val="00D878E0"/>
    <w:rsid w:val="00D964F4"/>
    <w:rsid w:val="00DC49A2"/>
    <w:rsid w:val="00DC5D44"/>
    <w:rsid w:val="00DC5E23"/>
    <w:rsid w:val="00DE41F9"/>
    <w:rsid w:val="00DF64A0"/>
    <w:rsid w:val="00DF795B"/>
    <w:rsid w:val="00E031F9"/>
    <w:rsid w:val="00E110EA"/>
    <w:rsid w:val="00E1334B"/>
    <w:rsid w:val="00E2647B"/>
    <w:rsid w:val="00E34A41"/>
    <w:rsid w:val="00E36CE9"/>
    <w:rsid w:val="00E55635"/>
    <w:rsid w:val="00E6037A"/>
    <w:rsid w:val="00E618EA"/>
    <w:rsid w:val="00E7380F"/>
    <w:rsid w:val="00E7483A"/>
    <w:rsid w:val="00E74DD3"/>
    <w:rsid w:val="00E75856"/>
    <w:rsid w:val="00E804BF"/>
    <w:rsid w:val="00E811E1"/>
    <w:rsid w:val="00E90585"/>
    <w:rsid w:val="00E9198D"/>
    <w:rsid w:val="00E92394"/>
    <w:rsid w:val="00EA1C60"/>
    <w:rsid w:val="00EC2AEB"/>
    <w:rsid w:val="00ED0B26"/>
    <w:rsid w:val="00ED26C4"/>
    <w:rsid w:val="00ED5F03"/>
    <w:rsid w:val="00ED65C3"/>
    <w:rsid w:val="00EE02E1"/>
    <w:rsid w:val="00EE69B9"/>
    <w:rsid w:val="00EF0E0B"/>
    <w:rsid w:val="00F008F9"/>
    <w:rsid w:val="00F05945"/>
    <w:rsid w:val="00F07A89"/>
    <w:rsid w:val="00F1115C"/>
    <w:rsid w:val="00F23B9E"/>
    <w:rsid w:val="00F269E7"/>
    <w:rsid w:val="00F36213"/>
    <w:rsid w:val="00F429D5"/>
    <w:rsid w:val="00F5114D"/>
    <w:rsid w:val="00F54CD6"/>
    <w:rsid w:val="00F60AB2"/>
    <w:rsid w:val="00F62BC7"/>
    <w:rsid w:val="00F66417"/>
    <w:rsid w:val="00F868F0"/>
    <w:rsid w:val="00FA0DC0"/>
    <w:rsid w:val="00FB05B9"/>
    <w:rsid w:val="00FB104F"/>
    <w:rsid w:val="00FC24A4"/>
    <w:rsid w:val="00FD0318"/>
    <w:rsid w:val="00FD166E"/>
    <w:rsid w:val="00FD1A5B"/>
    <w:rsid w:val="00FD6035"/>
    <w:rsid w:val="00FE286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8EB8-EFE9-4BAA-BB13-C3D1C34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2938"/>
  </w:style>
  <w:style w:type="character" w:customStyle="1" w:styleId="FontStyle31">
    <w:name w:val="Font Style31"/>
    <w:basedOn w:val="a0"/>
    <w:rsid w:val="0012293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1229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229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2293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229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122938"/>
    <w:pPr>
      <w:widowControl w:val="0"/>
      <w:autoSpaceDE w:val="0"/>
      <w:autoSpaceDN w:val="0"/>
      <w:adjustRightInd w:val="0"/>
      <w:spacing w:after="0" w:line="320" w:lineRule="exac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122938"/>
  </w:style>
  <w:style w:type="paragraph" w:styleId="a4">
    <w:name w:val="header"/>
    <w:basedOn w:val="a"/>
    <w:link w:val="a5"/>
    <w:uiPriority w:val="99"/>
    <w:rsid w:val="00122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22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22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22938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122938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2293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2938"/>
    <w:pPr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29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2293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1229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229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122938"/>
  </w:style>
  <w:style w:type="paragraph" w:styleId="ac">
    <w:name w:val="Normal (Web)"/>
    <w:basedOn w:val="a"/>
    <w:uiPriority w:val="99"/>
    <w:semiHidden/>
    <w:unhideWhenUsed/>
    <w:rsid w:val="0012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22938"/>
    <w:rPr>
      <w:b/>
      <w:bCs/>
    </w:rPr>
  </w:style>
  <w:style w:type="paragraph" w:customStyle="1" w:styleId="ae">
    <w:name w:val="Знак Знак Знак Знак Знак"/>
    <w:basedOn w:val="a"/>
    <w:rsid w:val="001229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">
    <w:name w:val="Основной текст3"/>
    <w:basedOn w:val="a0"/>
    <w:rsid w:val="00122938"/>
    <w:rPr>
      <w:sz w:val="27"/>
      <w:szCs w:val="27"/>
      <w:lang w:bidi="ar-SA"/>
    </w:rPr>
  </w:style>
  <w:style w:type="paragraph" w:customStyle="1" w:styleId="ConsPlusNonformat">
    <w:name w:val="ConsPlusNonformat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2293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122938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ED0B26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6E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91%D1%80%D1%8F%D0%BD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1%80%D0%B8%D1%87%D1%81%D0%BA%D0%B8%D0%B9_%D1%80%D0%B0%D0%B9%D0%BE%D0%B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B0A5-2302-4A18-955F-9B981FD7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21</Pages>
  <Words>7569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палата счетная</cp:lastModifiedBy>
  <cp:revision>144</cp:revision>
  <cp:lastPrinted>2022-04-14T11:59:00Z</cp:lastPrinted>
  <dcterms:created xsi:type="dcterms:W3CDTF">2017-03-23T08:05:00Z</dcterms:created>
  <dcterms:modified xsi:type="dcterms:W3CDTF">2023-05-16T06:11:00Z</dcterms:modified>
</cp:coreProperties>
</file>