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69" w:rsidRDefault="00397B69" w:rsidP="004C0C94">
      <w:pPr>
        <w:pStyle w:val="1"/>
        <w:spacing w:line="240" w:lineRule="auto"/>
        <w:ind w:firstLine="0"/>
        <w:jc w:val="center"/>
        <w:rPr>
          <w:sz w:val="26"/>
          <w:szCs w:val="26"/>
        </w:rPr>
      </w:pPr>
    </w:p>
    <w:p w:rsidR="004C0C94" w:rsidRPr="00397B69" w:rsidRDefault="004C0C94" w:rsidP="004C0C94">
      <w:pPr>
        <w:pStyle w:val="1"/>
        <w:spacing w:line="240" w:lineRule="auto"/>
        <w:ind w:firstLine="0"/>
        <w:jc w:val="center"/>
        <w:rPr>
          <w:sz w:val="26"/>
          <w:szCs w:val="26"/>
        </w:rPr>
      </w:pPr>
      <w:r w:rsidRPr="00397B69">
        <w:rPr>
          <w:sz w:val="26"/>
          <w:szCs w:val="26"/>
        </w:rPr>
        <w:t>ФИНАНСОВОЕ УПРАВЛЕНИЕ</w:t>
      </w:r>
    </w:p>
    <w:p w:rsidR="004C0C94" w:rsidRPr="00397B69" w:rsidRDefault="004C0C94" w:rsidP="004C0C94">
      <w:pPr>
        <w:pStyle w:val="1"/>
        <w:spacing w:line="240" w:lineRule="auto"/>
        <w:ind w:firstLine="0"/>
        <w:jc w:val="center"/>
        <w:rPr>
          <w:sz w:val="26"/>
          <w:szCs w:val="26"/>
        </w:rPr>
      </w:pPr>
      <w:r w:rsidRPr="00397B69">
        <w:rPr>
          <w:sz w:val="26"/>
          <w:szCs w:val="26"/>
        </w:rPr>
        <w:t>АДМИНИСТРАЦИИ НАВЛИНСКОГО РАЙОНА</w:t>
      </w:r>
      <w:r w:rsidRPr="00397B69">
        <w:rPr>
          <w:sz w:val="26"/>
          <w:szCs w:val="26"/>
        </w:rPr>
        <w:br/>
      </w:r>
    </w:p>
    <w:p w:rsidR="004C0C94" w:rsidRPr="00397B69" w:rsidRDefault="004C0C94" w:rsidP="004C0C94">
      <w:pPr>
        <w:pStyle w:val="1"/>
        <w:spacing w:line="240" w:lineRule="auto"/>
        <w:ind w:firstLine="0"/>
        <w:jc w:val="center"/>
        <w:rPr>
          <w:sz w:val="26"/>
          <w:szCs w:val="26"/>
        </w:rPr>
      </w:pPr>
      <w:r w:rsidRPr="00397B69">
        <w:rPr>
          <w:sz w:val="26"/>
          <w:szCs w:val="26"/>
        </w:rPr>
        <w:t>ПРИКАЗ</w:t>
      </w:r>
    </w:p>
    <w:p w:rsidR="0043625D" w:rsidRPr="00397B69" w:rsidRDefault="004362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5421"/>
        <w:gridCol w:w="4110"/>
      </w:tblGrid>
      <w:tr w:rsidR="00397B69" w:rsidRPr="00397B69" w:rsidTr="00397B69">
        <w:tc>
          <w:tcPr>
            <w:tcW w:w="5421" w:type="dxa"/>
            <w:shd w:val="clear" w:color="auto" w:fill="auto"/>
          </w:tcPr>
          <w:p w:rsidR="00397B69" w:rsidRPr="00397B69" w:rsidRDefault="00397B69" w:rsidP="00397B69">
            <w:pPr>
              <w:pStyle w:val="1"/>
              <w:spacing w:line="240" w:lineRule="auto"/>
              <w:ind w:firstLine="0"/>
              <w:rPr>
                <w:sz w:val="26"/>
                <w:szCs w:val="26"/>
              </w:rPr>
            </w:pPr>
            <w:r w:rsidRPr="00397B69">
              <w:rPr>
                <w:sz w:val="26"/>
                <w:szCs w:val="26"/>
              </w:rPr>
              <w:t>от 28.11.2022 № 86</w:t>
            </w:r>
          </w:p>
        </w:tc>
        <w:tc>
          <w:tcPr>
            <w:tcW w:w="4110" w:type="dxa"/>
            <w:shd w:val="clear" w:color="auto" w:fill="auto"/>
          </w:tcPr>
          <w:p w:rsidR="00397B69" w:rsidRPr="00397B69" w:rsidRDefault="00397B69" w:rsidP="00397B6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7B69" w:rsidRPr="00397B69" w:rsidTr="00397B69">
        <w:tc>
          <w:tcPr>
            <w:tcW w:w="5421" w:type="dxa"/>
            <w:shd w:val="clear" w:color="auto" w:fill="auto"/>
          </w:tcPr>
          <w:p w:rsidR="00397B69" w:rsidRPr="00397B69" w:rsidRDefault="00397B69" w:rsidP="00397B6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B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рп. Навля</w:t>
            </w:r>
          </w:p>
        </w:tc>
        <w:tc>
          <w:tcPr>
            <w:tcW w:w="4110" w:type="dxa"/>
            <w:shd w:val="clear" w:color="auto" w:fill="auto"/>
          </w:tcPr>
          <w:p w:rsidR="00397B69" w:rsidRPr="00397B69" w:rsidRDefault="00397B69" w:rsidP="00397B6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7B69" w:rsidRPr="00397B69" w:rsidTr="00397B69">
        <w:tc>
          <w:tcPr>
            <w:tcW w:w="5421" w:type="dxa"/>
            <w:shd w:val="clear" w:color="auto" w:fill="auto"/>
          </w:tcPr>
          <w:p w:rsidR="00397B69" w:rsidRPr="00397B69" w:rsidRDefault="00397B69" w:rsidP="00397B6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397B69" w:rsidRPr="00397B69" w:rsidRDefault="00397B69" w:rsidP="00397B6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7B69" w:rsidRPr="00397B69" w:rsidTr="00397B69">
        <w:tc>
          <w:tcPr>
            <w:tcW w:w="5421" w:type="dxa"/>
            <w:shd w:val="clear" w:color="auto" w:fill="auto"/>
          </w:tcPr>
          <w:p w:rsidR="00397B69" w:rsidRPr="00397B69" w:rsidRDefault="00397B69" w:rsidP="00397B6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B69">
              <w:rPr>
                <w:rFonts w:ascii="Times New Roman" w:hAnsi="Times New Roman" w:cs="Times New Roman"/>
                <w:bCs/>
                <w:sz w:val="26"/>
                <w:szCs w:val="26"/>
              </w:rPr>
              <w:t>Об утверждении порядка проведения мониторинга качества финансового менеджмента в отношении главных администраторов средств бюджета Навлинского муниципального района Брянской области</w:t>
            </w:r>
          </w:p>
        </w:tc>
        <w:tc>
          <w:tcPr>
            <w:tcW w:w="4110" w:type="dxa"/>
            <w:shd w:val="clear" w:color="auto" w:fill="auto"/>
          </w:tcPr>
          <w:p w:rsidR="00397B69" w:rsidRPr="00397B69" w:rsidRDefault="00397B69" w:rsidP="00397B6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97B69" w:rsidRPr="00397B69" w:rsidRDefault="00397B69" w:rsidP="004871A0">
      <w:pPr>
        <w:pStyle w:val="1"/>
        <w:spacing w:line="240" w:lineRule="auto"/>
        <w:ind w:firstLine="0"/>
        <w:rPr>
          <w:sz w:val="26"/>
          <w:szCs w:val="26"/>
        </w:rPr>
      </w:pPr>
    </w:p>
    <w:p w:rsidR="00397B69" w:rsidRPr="00397B69" w:rsidRDefault="00397B69" w:rsidP="004871A0">
      <w:pPr>
        <w:pStyle w:val="1"/>
        <w:spacing w:line="240" w:lineRule="auto"/>
        <w:ind w:firstLine="0"/>
        <w:rPr>
          <w:sz w:val="26"/>
          <w:szCs w:val="26"/>
        </w:rPr>
      </w:pPr>
    </w:p>
    <w:p w:rsidR="0043625D" w:rsidRPr="00397B69" w:rsidRDefault="004362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B6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>
        <w:r w:rsidRPr="00397B69">
          <w:rPr>
            <w:rFonts w:ascii="Times New Roman" w:hAnsi="Times New Roman" w:cs="Times New Roman"/>
            <w:color w:val="0000FF"/>
            <w:sz w:val="26"/>
            <w:szCs w:val="26"/>
          </w:rPr>
          <w:t>пунктом 6 статьи 160.2-1</w:t>
        </w:r>
      </w:hyperlink>
      <w:r w:rsidRPr="00397B69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приказываю:</w:t>
      </w:r>
    </w:p>
    <w:p w:rsidR="0043625D" w:rsidRPr="00397B69" w:rsidRDefault="004362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625D" w:rsidRPr="00397B69" w:rsidRDefault="004362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B69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33">
        <w:r w:rsidRPr="00397B69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397B69">
        <w:rPr>
          <w:rFonts w:ascii="Times New Roman" w:hAnsi="Times New Roman" w:cs="Times New Roman"/>
          <w:sz w:val="26"/>
          <w:szCs w:val="26"/>
        </w:rPr>
        <w:t xml:space="preserve"> проведения мониторинга качества финансового менеджмента в отношении главных администраторов средств </w:t>
      </w:r>
      <w:r w:rsidR="00376750" w:rsidRPr="00397B69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0D760D" w:rsidRPr="00397B69">
        <w:rPr>
          <w:rFonts w:ascii="Times New Roman" w:hAnsi="Times New Roman" w:cs="Times New Roman"/>
          <w:sz w:val="26"/>
          <w:szCs w:val="26"/>
        </w:rPr>
        <w:t>Навлинского муниципального района</w:t>
      </w:r>
      <w:r w:rsidRPr="00397B69">
        <w:rPr>
          <w:rFonts w:ascii="Times New Roman" w:hAnsi="Times New Roman" w:cs="Times New Roman"/>
          <w:sz w:val="26"/>
          <w:szCs w:val="26"/>
        </w:rPr>
        <w:t xml:space="preserve"> </w:t>
      </w:r>
      <w:r w:rsidR="000D760D" w:rsidRPr="00397B69">
        <w:rPr>
          <w:rFonts w:ascii="Times New Roman" w:hAnsi="Times New Roman" w:cs="Times New Roman"/>
          <w:sz w:val="26"/>
          <w:szCs w:val="26"/>
        </w:rPr>
        <w:t xml:space="preserve">Брянской области </w:t>
      </w:r>
      <w:r w:rsidRPr="00397B69">
        <w:rPr>
          <w:rFonts w:ascii="Times New Roman" w:hAnsi="Times New Roman" w:cs="Times New Roman"/>
          <w:sz w:val="26"/>
          <w:szCs w:val="26"/>
        </w:rPr>
        <w:t>(</w:t>
      </w:r>
      <w:r w:rsidR="00397B69">
        <w:rPr>
          <w:rFonts w:ascii="Times New Roman" w:hAnsi="Times New Roman" w:cs="Times New Roman"/>
          <w:sz w:val="26"/>
          <w:szCs w:val="26"/>
        </w:rPr>
        <w:t>прилагается</w:t>
      </w:r>
      <w:r w:rsidRPr="00397B69">
        <w:rPr>
          <w:rFonts w:ascii="Times New Roman" w:hAnsi="Times New Roman" w:cs="Times New Roman"/>
          <w:sz w:val="26"/>
          <w:szCs w:val="26"/>
        </w:rPr>
        <w:t>).</w:t>
      </w:r>
    </w:p>
    <w:p w:rsidR="0043625D" w:rsidRPr="00397B69" w:rsidRDefault="004362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4643D" w:rsidRPr="00397B69" w:rsidRDefault="0043625D" w:rsidP="00A4643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B69">
        <w:rPr>
          <w:rFonts w:ascii="Times New Roman" w:hAnsi="Times New Roman" w:cs="Times New Roman"/>
          <w:sz w:val="26"/>
          <w:szCs w:val="26"/>
        </w:rPr>
        <w:t xml:space="preserve">2. </w:t>
      </w:r>
      <w:r w:rsidR="00A4643D" w:rsidRPr="00397B69">
        <w:rPr>
          <w:rFonts w:ascii="Times New Roman" w:hAnsi="Times New Roman" w:cs="Times New Roman"/>
          <w:sz w:val="26"/>
          <w:szCs w:val="26"/>
        </w:rPr>
        <w:t>Опубликовать приказ на официальном сайте администрации Навлинского района (</w:t>
      </w:r>
      <w:r w:rsidR="00A4643D" w:rsidRPr="00397B69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A4643D" w:rsidRPr="00397B6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4643D" w:rsidRPr="00397B69">
        <w:rPr>
          <w:rFonts w:ascii="Times New Roman" w:hAnsi="Times New Roman" w:cs="Times New Roman"/>
          <w:sz w:val="26"/>
          <w:szCs w:val="26"/>
          <w:lang w:val="en-US"/>
        </w:rPr>
        <w:t>admnav</w:t>
      </w:r>
      <w:proofErr w:type="spellEnd"/>
      <w:r w:rsidR="00A4643D" w:rsidRPr="00397B6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4643D" w:rsidRPr="00397B69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="00A4643D" w:rsidRPr="00397B69">
        <w:rPr>
          <w:rFonts w:ascii="Times New Roman" w:hAnsi="Times New Roman" w:cs="Times New Roman"/>
          <w:sz w:val="26"/>
          <w:szCs w:val="26"/>
        </w:rPr>
        <w:t>).</w:t>
      </w:r>
    </w:p>
    <w:p w:rsidR="00A4643D" w:rsidRPr="00397B69" w:rsidRDefault="00A4643D" w:rsidP="00A4643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D5FFF" w:rsidRPr="00397B69" w:rsidRDefault="0043625D" w:rsidP="006D5F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B69">
        <w:rPr>
          <w:rFonts w:ascii="Times New Roman" w:hAnsi="Times New Roman" w:cs="Times New Roman"/>
          <w:sz w:val="26"/>
          <w:szCs w:val="26"/>
        </w:rPr>
        <w:t xml:space="preserve">3. </w:t>
      </w:r>
      <w:r w:rsidR="006D5FFF" w:rsidRPr="00397B69"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</w:t>
      </w:r>
      <w:r w:rsidR="00806D6E" w:rsidRPr="00397B69">
        <w:rPr>
          <w:rFonts w:ascii="Times New Roman" w:hAnsi="Times New Roman" w:cs="Times New Roman"/>
          <w:sz w:val="26"/>
          <w:szCs w:val="26"/>
        </w:rPr>
        <w:t>п</w:t>
      </w:r>
      <w:r w:rsidR="006D5FFF" w:rsidRPr="00397B69">
        <w:rPr>
          <w:rFonts w:ascii="Times New Roman" w:hAnsi="Times New Roman" w:cs="Times New Roman"/>
          <w:sz w:val="26"/>
          <w:szCs w:val="26"/>
        </w:rPr>
        <w:t xml:space="preserve">риказа </w:t>
      </w:r>
      <w:r w:rsidR="0092663D" w:rsidRPr="00397B69">
        <w:rPr>
          <w:rFonts w:ascii="Times New Roman" w:hAnsi="Times New Roman" w:cs="Times New Roman"/>
          <w:sz w:val="26"/>
          <w:szCs w:val="26"/>
        </w:rPr>
        <w:t>возложить на начальника отдела бюджетирования С.Н. Корябину</w:t>
      </w:r>
      <w:r w:rsidR="006D5FFF" w:rsidRPr="00397B69">
        <w:rPr>
          <w:rFonts w:ascii="Times New Roman" w:hAnsi="Times New Roman" w:cs="Times New Roman"/>
          <w:sz w:val="26"/>
          <w:szCs w:val="26"/>
        </w:rPr>
        <w:t>.</w:t>
      </w:r>
    </w:p>
    <w:p w:rsidR="0043625D" w:rsidRPr="00397B69" w:rsidRDefault="004362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625D" w:rsidRPr="00397B69" w:rsidRDefault="004362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0831" w:rsidRPr="00397B69" w:rsidRDefault="003A08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04D1" w:rsidRPr="00397B69" w:rsidRDefault="002B04D1" w:rsidP="002B04D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97B69">
        <w:rPr>
          <w:rFonts w:ascii="Times New Roman" w:hAnsi="Times New Roman" w:cs="Times New Roman"/>
          <w:sz w:val="26"/>
          <w:szCs w:val="26"/>
        </w:rPr>
        <w:t>Заместитель г</w:t>
      </w:r>
      <w:r w:rsidRPr="00397B69">
        <w:rPr>
          <w:rFonts w:ascii="Times New Roman" w:hAnsi="Times New Roman"/>
          <w:sz w:val="26"/>
          <w:szCs w:val="26"/>
        </w:rPr>
        <w:t>лавы администрации района-</w:t>
      </w:r>
    </w:p>
    <w:p w:rsidR="002B04D1" w:rsidRPr="00397B69" w:rsidRDefault="002B04D1" w:rsidP="002B04D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97B69">
        <w:rPr>
          <w:rFonts w:ascii="Times New Roman" w:hAnsi="Times New Roman"/>
          <w:sz w:val="26"/>
          <w:szCs w:val="26"/>
        </w:rPr>
        <w:t xml:space="preserve">начальник финансового управления                                        Т.А. Сонных                            </w:t>
      </w:r>
    </w:p>
    <w:p w:rsidR="0043625D" w:rsidRPr="00397B69" w:rsidRDefault="004362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625D" w:rsidRPr="0042351F" w:rsidRDefault="00436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25D" w:rsidRPr="0042351F" w:rsidRDefault="00436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25D" w:rsidRPr="0042351F" w:rsidRDefault="00436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25D" w:rsidRPr="0042351F" w:rsidRDefault="00436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4D1" w:rsidRPr="0042351F" w:rsidRDefault="002B04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4D1" w:rsidRPr="0042351F" w:rsidRDefault="002B04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4D1" w:rsidRPr="0042351F" w:rsidRDefault="002B04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4D1" w:rsidRPr="0042351F" w:rsidRDefault="002B04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4D1" w:rsidRPr="0042351F" w:rsidRDefault="002B04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4D1" w:rsidRPr="0042351F" w:rsidRDefault="002B04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4D1" w:rsidRPr="0042351F" w:rsidRDefault="002B04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4D1" w:rsidRPr="0042351F" w:rsidRDefault="002B04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4D1" w:rsidRPr="0042351F" w:rsidRDefault="002B04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4D1" w:rsidRPr="0042351F" w:rsidRDefault="002B04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4D1" w:rsidRPr="0042351F" w:rsidRDefault="002B04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4D1" w:rsidRPr="0042351F" w:rsidRDefault="002B04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jc w:val="right"/>
        <w:tblLook w:val="04A0" w:firstRow="1" w:lastRow="0" w:firstColumn="1" w:lastColumn="0" w:noHBand="0" w:noVBand="1"/>
      </w:tblPr>
      <w:tblGrid>
        <w:gridCol w:w="3686"/>
        <w:gridCol w:w="6095"/>
      </w:tblGrid>
      <w:tr w:rsidR="00397B69" w:rsidRPr="00397B69" w:rsidTr="00397B69">
        <w:trPr>
          <w:jc w:val="right"/>
        </w:trPr>
        <w:tc>
          <w:tcPr>
            <w:tcW w:w="3686" w:type="dxa"/>
            <w:shd w:val="clear" w:color="auto" w:fill="auto"/>
          </w:tcPr>
          <w:p w:rsidR="00397B69" w:rsidRPr="00397B69" w:rsidRDefault="00397B69" w:rsidP="00397B6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shd w:val="clear" w:color="auto" w:fill="auto"/>
          </w:tcPr>
          <w:p w:rsidR="00397B69" w:rsidRPr="00397B69" w:rsidRDefault="00397B69" w:rsidP="00397B69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397B69"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397B69" w:rsidRPr="00397B69" w:rsidTr="00397B69">
        <w:trPr>
          <w:jc w:val="right"/>
        </w:trPr>
        <w:tc>
          <w:tcPr>
            <w:tcW w:w="3686" w:type="dxa"/>
            <w:shd w:val="clear" w:color="auto" w:fill="auto"/>
          </w:tcPr>
          <w:p w:rsidR="00397B69" w:rsidRPr="00397B69" w:rsidRDefault="00397B69" w:rsidP="00397B6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shd w:val="clear" w:color="auto" w:fill="auto"/>
          </w:tcPr>
          <w:p w:rsidR="00397B69" w:rsidRDefault="00397B69" w:rsidP="00397B69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397B69">
              <w:rPr>
                <w:rFonts w:ascii="Times New Roman" w:hAnsi="Times New Roman" w:cs="Times New Roman"/>
              </w:rPr>
              <w:t>Приказом Финансового управления</w:t>
            </w:r>
          </w:p>
          <w:p w:rsidR="00397B69" w:rsidRPr="00397B69" w:rsidRDefault="00397B69" w:rsidP="00397B69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397B69">
              <w:rPr>
                <w:rFonts w:ascii="Times New Roman" w:hAnsi="Times New Roman" w:cs="Times New Roman"/>
              </w:rPr>
              <w:t xml:space="preserve">администрации Навлинского района </w:t>
            </w:r>
          </w:p>
        </w:tc>
      </w:tr>
      <w:tr w:rsidR="00397B69" w:rsidRPr="00397B69" w:rsidTr="00397B69">
        <w:trPr>
          <w:jc w:val="right"/>
        </w:trPr>
        <w:tc>
          <w:tcPr>
            <w:tcW w:w="3686" w:type="dxa"/>
            <w:shd w:val="clear" w:color="auto" w:fill="auto"/>
          </w:tcPr>
          <w:p w:rsidR="00397B69" w:rsidRPr="00397B69" w:rsidRDefault="00397B69" w:rsidP="00397B6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shd w:val="clear" w:color="auto" w:fill="auto"/>
          </w:tcPr>
          <w:p w:rsidR="00397B69" w:rsidRPr="00397B69" w:rsidRDefault="00397B69" w:rsidP="00397B69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397B69">
              <w:rPr>
                <w:rFonts w:ascii="Times New Roman" w:hAnsi="Times New Roman" w:cs="Times New Roman"/>
              </w:rPr>
              <w:t>от 28.11.2022 № 86</w:t>
            </w:r>
          </w:p>
        </w:tc>
      </w:tr>
    </w:tbl>
    <w:p w:rsidR="002B04D1" w:rsidRPr="0042351F" w:rsidRDefault="002B04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4D1" w:rsidRPr="0042351F" w:rsidRDefault="002B04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04D1" w:rsidRPr="0042351F" w:rsidRDefault="002B04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3625D" w:rsidRPr="0042351F" w:rsidRDefault="004362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42351F">
        <w:rPr>
          <w:rFonts w:ascii="Times New Roman" w:hAnsi="Times New Roman" w:cs="Times New Roman"/>
          <w:sz w:val="24"/>
          <w:szCs w:val="24"/>
        </w:rPr>
        <w:t>ПОРЯДОК</w:t>
      </w:r>
    </w:p>
    <w:p w:rsidR="0043625D" w:rsidRPr="0042351F" w:rsidRDefault="004362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351F">
        <w:rPr>
          <w:rFonts w:ascii="Times New Roman" w:hAnsi="Times New Roman" w:cs="Times New Roman"/>
          <w:sz w:val="24"/>
          <w:szCs w:val="24"/>
        </w:rPr>
        <w:t xml:space="preserve">ПРОВЕДЕНИЯ МОНИТОРИНГА КАЧЕСТВА ФИНАНСОВОГО МЕНЕДЖМЕНТА </w:t>
      </w:r>
      <w:r w:rsidR="0042351F">
        <w:rPr>
          <w:rFonts w:ascii="Times New Roman" w:hAnsi="Times New Roman" w:cs="Times New Roman"/>
          <w:sz w:val="24"/>
          <w:szCs w:val="24"/>
        </w:rPr>
        <w:t>В</w:t>
      </w:r>
      <w:r w:rsidRPr="0042351F">
        <w:rPr>
          <w:rFonts w:ascii="Times New Roman" w:hAnsi="Times New Roman" w:cs="Times New Roman"/>
          <w:sz w:val="24"/>
          <w:szCs w:val="24"/>
        </w:rPr>
        <w:t xml:space="preserve"> </w:t>
      </w:r>
      <w:r w:rsidR="00137C1B" w:rsidRPr="0042351F">
        <w:rPr>
          <w:rFonts w:ascii="Times New Roman" w:hAnsi="Times New Roman" w:cs="Times New Roman"/>
          <w:sz w:val="24"/>
          <w:szCs w:val="24"/>
        </w:rPr>
        <w:t>О</w:t>
      </w:r>
      <w:r w:rsidRPr="0042351F">
        <w:rPr>
          <w:rFonts w:ascii="Times New Roman" w:hAnsi="Times New Roman" w:cs="Times New Roman"/>
          <w:sz w:val="24"/>
          <w:szCs w:val="24"/>
        </w:rPr>
        <w:t>ТНОШЕНИИ</w:t>
      </w:r>
      <w:r w:rsidR="00137C1B" w:rsidRPr="0042351F">
        <w:rPr>
          <w:rFonts w:ascii="Times New Roman" w:hAnsi="Times New Roman" w:cs="Times New Roman"/>
          <w:sz w:val="24"/>
          <w:szCs w:val="24"/>
        </w:rPr>
        <w:t xml:space="preserve"> </w:t>
      </w:r>
      <w:r w:rsidRPr="0042351F">
        <w:rPr>
          <w:rFonts w:ascii="Times New Roman" w:hAnsi="Times New Roman" w:cs="Times New Roman"/>
          <w:sz w:val="24"/>
          <w:szCs w:val="24"/>
        </w:rPr>
        <w:t xml:space="preserve">ГЛАВНЫХ АДМИНИСТРАТОРОВ СРЕДСТВ </w:t>
      </w:r>
      <w:r w:rsidR="00376750" w:rsidRPr="0042351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0D760D" w:rsidRPr="0042351F">
        <w:rPr>
          <w:rFonts w:ascii="Times New Roman" w:hAnsi="Times New Roman" w:cs="Times New Roman"/>
          <w:sz w:val="24"/>
          <w:szCs w:val="24"/>
        </w:rPr>
        <w:t>НАВЛИНСКОГО МУНИЦИПАЛЬНОГО РАЙОНА</w:t>
      </w:r>
      <w:r w:rsidR="002938DE" w:rsidRPr="0042351F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</w:p>
    <w:p w:rsidR="0043625D" w:rsidRPr="0042351F" w:rsidRDefault="00436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25D" w:rsidRPr="0042351F" w:rsidRDefault="00436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51F">
        <w:rPr>
          <w:rFonts w:ascii="Times New Roman" w:hAnsi="Times New Roman" w:cs="Times New Roman"/>
          <w:sz w:val="24"/>
          <w:szCs w:val="24"/>
        </w:rPr>
        <w:t xml:space="preserve">1. Настоящий </w:t>
      </w:r>
      <w:r w:rsidR="00397B69">
        <w:rPr>
          <w:rFonts w:ascii="Times New Roman" w:hAnsi="Times New Roman" w:cs="Times New Roman"/>
          <w:sz w:val="24"/>
          <w:szCs w:val="24"/>
        </w:rPr>
        <w:t>П</w:t>
      </w:r>
      <w:r w:rsidRPr="0042351F">
        <w:rPr>
          <w:rFonts w:ascii="Times New Roman" w:hAnsi="Times New Roman" w:cs="Times New Roman"/>
          <w:sz w:val="24"/>
          <w:szCs w:val="24"/>
        </w:rPr>
        <w:t xml:space="preserve">орядок в соответствии с </w:t>
      </w:r>
      <w:hyperlink r:id="rId8">
        <w:r w:rsidRPr="0042351F">
          <w:rPr>
            <w:rFonts w:ascii="Times New Roman" w:hAnsi="Times New Roman" w:cs="Times New Roman"/>
            <w:color w:val="0000FF"/>
            <w:sz w:val="24"/>
            <w:szCs w:val="24"/>
          </w:rPr>
          <w:t>пунктом 6 статьи 160.2-1</w:t>
        </w:r>
      </w:hyperlink>
      <w:r w:rsidRPr="0042351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определяет правила проведения мониторинга качества финансового менеджмента в отношении главных распорядителей средств </w:t>
      </w:r>
      <w:r w:rsidR="00376750" w:rsidRPr="0042351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0D760D" w:rsidRPr="0042351F">
        <w:rPr>
          <w:rFonts w:ascii="Times New Roman" w:hAnsi="Times New Roman" w:cs="Times New Roman"/>
          <w:sz w:val="24"/>
          <w:szCs w:val="24"/>
        </w:rPr>
        <w:t>Навлинского муниципального района</w:t>
      </w:r>
      <w:r w:rsidR="003244D9" w:rsidRPr="0042351F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Pr="0042351F">
        <w:rPr>
          <w:rFonts w:ascii="Times New Roman" w:hAnsi="Times New Roman" w:cs="Times New Roman"/>
          <w:sz w:val="24"/>
          <w:szCs w:val="24"/>
        </w:rPr>
        <w:t xml:space="preserve">, главных администраторов доходов </w:t>
      </w:r>
      <w:r w:rsidR="00376750" w:rsidRPr="0042351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0D760D" w:rsidRPr="0042351F">
        <w:rPr>
          <w:rFonts w:ascii="Times New Roman" w:hAnsi="Times New Roman" w:cs="Times New Roman"/>
          <w:sz w:val="24"/>
          <w:szCs w:val="24"/>
        </w:rPr>
        <w:t>Навлинского муниципального района</w:t>
      </w:r>
      <w:r w:rsidR="003244D9" w:rsidRPr="0042351F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Pr="0042351F">
        <w:rPr>
          <w:rFonts w:ascii="Times New Roman" w:hAnsi="Times New Roman" w:cs="Times New Roman"/>
          <w:sz w:val="24"/>
          <w:szCs w:val="24"/>
        </w:rPr>
        <w:t xml:space="preserve">, главных администраторов источников финансирования дефицита </w:t>
      </w:r>
      <w:r w:rsidR="00376750" w:rsidRPr="0042351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0D760D" w:rsidRPr="0042351F">
        <w:rPr>
          <w:rFonts w:ascii="Times New Roman" w:hAnsi="Times New Roman" w:cs="Times New Roman"/>
          <w:sz w:val="24"/>
          <w:szCs w:val="24"/>
        </w:rPr>
        <w:t>Навлинского муниципального района</w:t>
      </w:r>
      <w:r w:rsidRPr="0042351F">
        <w:rPr>
          <w:rFonts w:ascii="Times New Roman" w:hAnsi="Times New Roman" w:cs="Times New Roman"/>
          <w:sz w:val="24"/>
          <w:szCs w:val="24"/>
        </w:rPr>
        <w:t xml:space="preserve"> </w:t>
      </w:r>
      <w:r w:rsidR="003244D9" w:rsidRPr="0042351F">
        <w:rPr>
          <w:rFonts w:ascii="Times New Roman" w:hAnsi="Times New Roman" w:cs="Times New Roman"/>
          <w:sz w:val="24"/>
          <w:szCs w:val="24"/>
        </w:rPr>
        <w:t xml:space="preserve">Брянской области </w:t>
      </w:r>
      <w:r w:rsidRPr="0042351F">
        <w:rPr>
          <w:rFonts w:ascii="Times New Roman" w:hAnsi="Times New Roman" w:cs="Times New Roman"/>
          <w:sz w:val="24"/>
          <w:szCs w:val="24"/>
        </w:rPr>
        <w:t>(далее соответственно - мониторинг, главный администратор</w:t>
      </w:r>
      <w:r w:rsidR="009B065F">
        <w:rPr>
          <w:rFonts w:ascii="Times New Roman" w:hAnsi="Times New Roman" w:cs="Times New Roman"/>
          <w:sz w:val="24"/>
          <w:szCs w:val="24"/>
        </w:rPr>
        <w:t>, районный бюджет</w:t>
      </w:r>
      <w:r w:rsidRPr="0042351F">
        <w:rPr>
          <w:rFonts w:ascii="Times New Roman" w:hAnsi="Times New Roman" w:cs="Times New Roman"/>
          <w:sz w:val="24"/>
          <w:szCs w:val="24"/>
        </w:rPr>
        <w:t>).</w:t>
      </w:r>
    </w:p>
    <w:p w:rsidR="0043625D" w:rsidRPr="0042351F" w:rsidRDefault="004362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51F">
        <w:rPr>
          <w:rFonts w:ascii="Times New Roman" w:hAnsi="Times New Roman" w:cs="Times New Roman"/>
          <w:sz w:val="24"/>
          <w:szCs w:val="24"/>
        </w:rPr>
        <w:t xml:space="preserve">2. Мониторинг в отношении главных администраторов проводится путем анализа и оценки исполнения выполняемых главными администраторами бюджетных полномочий, в том числе результатов выполнения бюджетных процедур и (или) операций (действий) по выполнению бюджетных процедур, а также управления активами, осуществления закупок товаров, работ и услуг для обеспечения </w:t>
      </w:r>
      <w:r w:rsidR="00CD1F7A" w:rsidRPr="0042351F">
        <w:rPr>
          <w:rFonts w:ascii="Times New Roman" w:hAnsi="Times New Roman" w:cs="Times New Roman"/>
          <w:sz w:val="24"/>
          <w:szCs w:val="24"/>
        </w:rPr>
        <w:t>муниципаль</w:t>
      </w:r>
      <w:r w:rsidRPr="0042351F">
        <w:rPr>
          <w:rFonts w:ascii="Times New Roman" w:hAnsi="Times New Roman" w:cs="Times New Roman"/>
          <w:sz w:val="24"/>
          <w:szCs w:val="24"/>
        </w:rPr>
        <w:t>ных нужд.</w:t>
      </w:r>
    </w:p>
    <w:p w:rsidR="0043625D" w:rsidRPr="0042351F" w:rsidRDefault="004362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51F">
        <w:rPr>
          <w:rFonts w:ascii="Times New Roman" w:hAnsi="Times New Roman" w:cs="Times New Roman"/>
          <w:sz w:val="24"/>
          <w:szCs w:val="24"/>
        </w:rPr>
        <w:t>3. Мониторинг проводится в целях:</w:t>
      </w:r>
    </w:p>
    <w:p w:rsidR="0043625D" w:rsidRPr="0042351F" w:rsidRDefault="004362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51F">
        <w:rPr>
          <w:rFonts w:ascii="Times New Roman" w:hAnsi="Times New Roman" w:cs="Times New Roman"/>
          <w:sz w:val="24"/>
          <w:szCs w:val="24"/>
        </w:rPr>
        <w:t>определения качества финансового менеджмента главных администраторов;</w:t>
      </w:r>
    </w:p>
    <w:p w:rsidR="0043625D" w:rsidRPr="0042351F" w:rsidRDefault="004362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51F">
        <w:rPr>
          <w:rFonts w:ascii="Times New Roman" w:hAnsi="Times New Roman" w:cs="Times New Roman"/>
          <w:sz w:val="24"/>
          <w:szCs w:val="24"/>
        </w:rPr>
        <w:t>выявления главными администраторами бюджетных рисков;</w:t>
      </w:r>
    </w:p>
    <w:p w:rsidR="0043625D" w:rsidRPr="0042351F" w:rsidRDefault="004362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51F">
        <w:rPr>
          <w:rFonts w:ascii="Times New Roman" w:hAnsi="Times New Roman" w:cs="Times New Roman"/>
          <w:sz w:val="24"/>
          <w:szCs w:val="24"/>
        </w:rPr>
        <w:t>подготовки и реализации главными администраторами мер, направленных на минимизацию (устранение) бюджетных рисков, повышение качества финансового менеджмента</w:t>
      </w:r>
      <w:r w:rsidR="00776C09" w:rsidRPr="0042351F">
        <w:rPr>
          <w:rFonts w:ascii="Times New Roman" w:hAnsi="Times New Roman" w:cs="Times New Roman"/>
          <w:sz w:val="24"/>
          <w:szCs w:val="24"/>
        </w:rPr>
        <w:t>.</w:t>
      </w:r>
    </w:p>
    <w:p w:rsidR="0043625D" w:rsidRPr="0042351F" w:rsidRDefault="004362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51F">
        <w:rPr>
          <w:rFonts w:ascii="Times New Roman" w:hAnsi="Times New Roman" w:cs="Times New Roman"/>
          <w:sz w:val="24"/>
          <w:szCs w:val="24"/>
        </w:rPr>
        <w:t>4. Мониторинг проводится на основании данных бюджетной отчетности и иной информации, представляемой главными администраторами, а также общедоступных (размещенных на официальных сайтах в информационно-телекоммуникационной сети "Интернет") сведений.</w:t>
      </w:r>
    </w:p>
    <w:p w:rsidR="0043625D" w:rsidRPr="0042351F" w:rsidRDefault="004362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51F">
        <w:rPr>
          <w:rFonts w:ascii="Times New Roman" w:hAnsi="Times New Roman" w:cs="Times New Roman"/>
          <w:sz w:val="24"/>
          <w:szCs w:val="24"/>
        </w:rPr>
        <w:t xml:space="preserve">5. Мониторинг за отчетный финансовый год проводится в срок до 1 </w:t>
      </w:r>
      <w:r w:rsidR="00171FBB" w:rsidRPr="0042351F">
        <w:rPr>
          <w:rFonts w:ascii="Times New Roman" w:hAnsi="Times New Roman" w:cs="Times New Roman"/>
          <w:sz w:val="24"/>
          <w:szCs w:val="24"/>
        </w:rPr>
        <w:t>сентября</w:t>
      </w:r>
      <w:r w:rsidRPr="0042351F">
        <w:rPr>
          <w:rFonts w:ascii="Times New Roman" w:hAnsi="Times New Roman" w:cs="Times New Roman"/>
          <w:sz w:val="24"/>
          <w:szCs w:val="24"/>
        </w:rPr>
        <w:t xml:space="preserve"> года, следующего за отчетным.</w:t>
      </w:r>
    </w:p>
    <w:p w:rsidR="0043625D" w:rsidRPr="0042351F" w:rsidRDefault="00915E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3625D" w:rsidRPr="0042351F">
        <w:rPr>
          <w:rFonts w:ascii="Times New Roman" w:hAnsi="Times New Roman" w:cs="Times New Roman"/>
          <w:sz w:val="24"/>
          <w:szCs w:val="24"/>
        </w:rPr>
        <w:t xml:space="preserve">. Мониторинг проводится в соответствии с </w:t>
      </w:r>
      <w:hyperlink w:anchor="P99">
        <w:r w:rsidR="0043625D" w:rsidRPr="0042351F">
          <w:rPr>
            <w:rFonts w:ascii="Times New Roman" w:hAnsi="Times New Roman" w:cs="Times New Roman"/>
            <w:color w:val="0000FF"/>
            <w:sz w:val="24"/>
            <w:szCs w:val="24"/>
          </w:rPr>
          <w:t>показателями</w:t>
        </w:r>
      </w:hyperlink>
      <w:r w:rsidR="0043625D" w:rsidRPr="0042351F">
        <w:rPr>
          <w:rFonts w:ascii="Times New Roman" w:hAnsi="Times New Roman" w:cs="Times New Roman"/>
          <w:sz w:val="24"/>
          <w:szCs w:val="24"/>
        </w:rPr>
        <w:t xml:space="preserve"> качества финансового менеджмента (приложение к настоящему порядку).</w:t>
      </w:r>
    </w:p>
    <w:p w:rsidR="00D76726" w:rsidRPr="0042351F" w:rsidRDefault="00915E45" w:rsidP="00D767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76726" w:rsidRPr="0042351F">
        <w:rPr>
          <w:rFonts w:ascii="Times New Roman" w:hAnsi="Times New Roman" w:cs="Times New Roman"/>
          <w:sz w:val="24"/>
          <w:szCs w:val="24"/>
        </w:rPr>
        <w:t>. В целях проведения мониторинга главные администраторы ежегодно в соответствии с запросом финансового управления представляют информацию, необходимую для проведения мониторинга, включая подтверждающие документы по отдельным показателям.</w:t>
      </w:r>
    </w:p>
    <w:p w:rsidR="008C7501" w:rsidRPr="0042351F" w:rsidRDefault="008C7501" w:rsidP="008C75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51F">
        <w:rPr>
          <w:rFonts w:ascii="Times New Roman" w:hAnsi="Times New Roman" w:cs="Times New Roman"/>
          <w:sz w:val="24"/>
          <w:szCs w:val="24"/>
        </w:rPr>
        <w:t>Представление в финансовое управление сведений, предусмотренных настоящим порядком, осуществляется на бумажных носителях или с использованием государственной информационной системы управления государственными и муниципальными финансами Брянской области "Электронный бюджет Брянской области" при наличии технической возможности.</w:t>
      </w:r>
    </w:p>
    <w:p w:rsidR="00D76726" w:rsidRPr="0042351F" w:rsidRDefault="00D76726" w:rsidP="00D767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51F">
        <w:rPr>
          <w:rFonts w:ascii="Times New Roman" w:hAnsi="Times New Roman" w:cs="Times New Roman"/>
          <w:sz w:val="24"/>
          <w:szCs w:val="24"/>
        </w:rPr>
        <w:t xml:space="preserve">Значения показателей качества финансового менеджмента принимаются равными нулю </w:t>
      </w:r>
      <w:r w:rsidRPr="0042351F">
        <w:rPr>
          <w:rFonts w:ascii="Times New Roman" w:hAnsi="Times New Roman" w:cs="Times New Roman"/>
          <w:sz w:val="24"/>
          <w:szCs w:val="24"/>
        </w:rPr>
        <w:lastRenderedPageBreak/>
        <w:t>в случае непредставления или представления не в полном объеме подтверждающих документов.</w:t>
      </w:r>
    </w:p>
    <w:p w:rsidR="00A7117C" w:rsidRPr="0042351F" w:rsidRDefault="00A7117C" w:rsidP="00D767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51F">
        <w:rPr>
          <w:rFonts w:ascii="Times New Roman" w:hAnsi="Times New Roman" w:cs="Times New Roman"/>
          <w:sz w:val="24"/>
          <w:szCs w:val="24"/>
        </w:rPr>
        <w:t>При отсутствии показателя качества финансового менеджмента значение принимается равным максимальному уровню баллов.</w:t>
      </w:r>
    </w:p>
    <w:p w:rsidR="0055039C" w:rsidRPr="0042351F" w:rsidRDefault="00915E45" w:rsidP="0055039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5039C" w:rsidRPr="0042351F">
        <w:rPr>
          <w:rFonts w:ascii="Times New Roman" w:hAnsi="Times New Roman" w:cs="Times New Roman"/>
          <w:sz w:val="24"/>
          <w:szCs w:val="24"/>
        </w:rPr>
        <w:t>. Итоговая оценка качества финансового менеджмента определяется суммой баллов оценок по всем показателям и присваивается степень качества финансового менеджмента (далее – степень качества) в соответствии с таблицей 1 «Определение степени качества финансового менеджмента главных администраторов»</w:t>
      </w:r>
    </w:p>
    <w:p w:rsidR="003E494C" w:rsidRDefault="003E494C" w:rsidP="0055039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5039C" w:rsidRPr="0042351F" w:rsidRDefault="0055039C" w:rsidP="0055039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2351F">
        <w:rPr>
          <w:rFonts w:ascii="Times New Roman" w:hAnsi="Times New Roman" w:cs="Times New Roman"/>
          <w:sz w:val="24"/>
          <w:szCs w:val="24"/>
        </w:rPr>
        <w:t>Таблица 1</w:t>
      </w:r>
    </w:p>
    <w:p w:rsidR="0055039C" w:rsidRPr="0042351F" w:rsidRDefault="0055039C" w:rsidP="0055039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5039C" w:rsidRPr="0042351F" w:rsidRDefault="0055039C" w:rsidP="0055039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2351F">
        <w:rPr>
          <w:rFonts w:ascii="Times New Roman" w:hAnsi="Times New Roman" w:cs="Times New Roman"/>
          <w:sz w:val="24"/>
          <w:szCs w:val="24"/>
        </w:rPr>
        <w:t>Определение степени качества финансового менеджмента главных администраторов</w:t>
      </w:r>
    </w:p>
    <w:p w:rsidR="0055039C" w:rsidRPr="0042351F" w:rsidRDefault="0055039C" w:rsidP="0055039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5635"/>
      </w:tblGrid>
      <w:tr w:rsidR="0055039C" w:rsidRPr="0042351F" w:rsidTr="00254F76">
        <w:trPr>
          <w:jc w:val="center"/>
        </w:trPr>
        <w:tc>
          <w:tcPr>
            <w:tcW w:w="3936" w:type="dxa"/>
          </w:tcPr>
          <w:p w:rsidR="0055039C" w:rsidRPr="0042351F" w:rsidRDefault="0055039C" w:rsidP="00254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1F">
              <w:rPr>
                <w:rFonts w:ascii="Times New Roman" w:hAnsi="Times New Roman" w:cs="Times New Roman"/>
                <w:sz w:val="24"/>
                <w:szCs w:val="24"/>
              </w:rPr>
              <w:t>Интервалы итоговой оценки качества финансового менеджмента главных администраторов</w:t>
            </w:r>
          </w:p>
        </w:tc>
        <w:tc>
          <w:tcPr>
            <w:tcW w:w="5635" w:type="dxa"/>
          </w:tcPr>
          <w:p w:rsidR="0055039C" w:rsidRPr="0042351F" w:rsidRDefault="0055039C" w:rsidP="00254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1F">
              <w:rPr>
                <w:rFonts w:ascii="Times New Roman" w:hAnsi="Times New Roman" w:cs="Times New Roman"/>
                <w:sz w:val="24"/>
                <w:szCs w:val="24"/>
              </w:rPr>
              <w:t>Степень оценки качества финансового менеджмента</w:t>
            </w:r>
          </w:p>
        </w:tc>
      </w:tr>
      <w:tr w:rsidR="0055039C" w:rsidRPr="0042351F" w:rsidTr="00254F76">
        <w:trPr>
          <w:jc w:val="center"/>
        </w:trPr>
        <w:tc>
          <w:tcPr>
            <w:tcW w:w="3936" w:type="dxa"/>
            <w:vAlign w:val="center"/>
          </w:tcPr>
          <w:p w:rsidR="0055039C" w:rsidRPr="0042351F" w:rsidRDefault="00914E10" w:rsidP="00254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5039C" w:rsidRPr="004235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35" w:type="dxa"/>
          </w:tcPr>
          <w:p w:rsidR="0055039C" w:rsidRPr="0042351F" w:rsidRDefault="0055039C" w:rsidP="00254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2351F">
              <w:rPr>
                <w:rFonts w:ascii="Times New Roman" w:hAnsi="Times New Roman" w:cs="Times New Roman"/>
                <w:sz w:val="24"/>
                <w:szCs w:val="24"/>
              </w:rPr>
              <w:t xml:space="preserve"> степень – надлежащее качество финансового менеджмента (высокая)</w:t>
            </w:r>
          </w:p>
        </w:tc>
      </w:tr>
      <w:tr w:rsidR="0055039C" w:rsidRPr="0042351F" w:rsidTr="00254F76">
        <w:trPr>
          <w:jc w:val="center"/>
        </w:trPr>
        <w:tc>
          <w:tcPr>
            <w:tcW w:w="3936" w:type="dxa"/>
            <w:vAlign w:val="center"/>
          </w:tcPr>
          <w:p w:rsidR="0055039C" w:rsidRPr="0042351F" w:rsidRDefault="00914E10" w:rsidP="00254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039C" w:rsidRPr="0042351F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5" w:type="dxa"/>
          </w:tcPr>
          <w:p w:rsidR="0055039C" w:rsidRPr="0042351F" w:rsidRDefault="0055039C" w:rsidP="00254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2351F">
              <w:rPr>
                <w:rFonts w:ascii="Times New Roman" w:hAnsi="Times New Roman" w:cs="Times New Roman"/>
                <w:sz w:val="24"/>
                <w:szCs w:val="24"/>
              </w:rPr>
              <w:t xml:space="preserve"> степень – необходимость совершенствования финансового менеджмента (средняя)</w:t>
            </w:r>
          </w:p>
        </w:tc>
      </w:tr>
      <w:tr w:rsidR="0055039C" w:rsidRPr="0042351F" w:rsidTr="00254F76">
        <w:trPr>
          <w:jc w:val="center"/>
        </w:trPr>
        <w:tc>
          <w:tcPr>
            <w:tcW w:w="3936" w:type="dxa"/>
            <w:vAlign w:val="center"/>
          </w:tcPr>
          <w:p w:rsidR="0055039C" w:rsidRPr="0042351F" w:rsidRDefault="0055039C" w:rsidP="00254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1F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="00914E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5" w:type="dxa"/>
          </w:tcPr>
          <w:p w:rsidR="0055039C" w:rsidRPr="0042351F" w:rsidRDefault="0055039C" w:rsidP="00254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2351F">
              <w:rPr>
                <w:rFonts w:ascii="Times New Roman" w:hAnsi="Times New Roman" w:cs="Times New Roman"/>
                <w:sz w:val="24"/>
                <w:szCs w:val="24"/>
              </w:rPr>
              <w:t xml:space="preserve"> степень – ненадлежащее качество финансового менеджмента (низкая)</w:t>
            </w:r>
          </w:p>
        </w:tc>
      </w:tr>
    </w:tbl>
    <w:p w:rsidR="00E265C4" w:rsidRPr="0042351F" w:rsidRDefault="00BA00B8" w:rsidP="00E265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265C4" w:rsidRPr="0042351F">
        <w:rPr>
          <w:rFonts w:ascii="Times New Roman" w:hAnsi="Times New Roman" w:cs="Times New Roman"/>
          <w:sz w:val="24"/>
          <w:szCs w:val="24"/>
        </w:rPr>
        <w:t>. По результатам проведения мониторинга в отношении главных администраторов финансовое управление формирует отчет и публикует его на официальном сайте администрации Навлинского района в информационно-телекоммуникационной сети "Интернет".</w:t>
      </w:r>
    </w:p>
    <w:p w:rsidR="00E265C4" w:rsidRDefault="00E265C4" w:rsidP="00E265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51F">
        <w:rPr>
          <w:rFonts w:ascii="Times New Roman" w:hAnsi="Times New Roman" w:cs="Times New Roman"/>
          <w:sz w:val="24"/>
          <w:szCs w:val="24"/>
        </w:rPr>
        <w:t>Отчет содержит значения итоговой оценки качества финансового менеджмента главного администратора и всех показателей, используемых для ее расчета.</w:t>
      </w:r>
    </w:p>
    <w:p w:rsidR="00BA00B8" w:rsidRPr="0042351F" w:rsidRDefault="00BA00B8" w:rsidP="00BA00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51F">
        <w:rPr>
          <w:rFonts w:ascii="Times New Roman" w:hAnsi="Times New Roman" w:cs="Times New Roman"/>
          <w:sz w:val="24"/>
          <w:szCs w:val="24"/>
        </w:rPr>
        <w:t>Главные администраторы, которые по результатам мониторинга отнесены к III степени оценки качества финансового менеджмента, в течение 30 рабочих дней после направления результатов мониторинга представляют в финансовое управление план мероприятий по повышению качества управления муниципальными финансами.</w:t>
      </w:r>
    </w:p>
    <w:p w:rsidR="0055039C" w:rsidRPr="0042351F" w:rsidRDefault="0055039C" w:rsidP="006647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51F">
        <w:rPr>
          <w:rFonts w:ascii="Times New Roman" w:hAnsi="Times New Roman" w:cs="Times New Roman"/>
          <w:sz w:val="24"/>
          <w:szCs w:val="24"/>
        </w:rPr>
        <w:t>1</w:t>
      </w:r>
      <w:r w:rsidR="00BA00B8">
        <w:rPr>
          <w:rFonts w:ascii="Times New Roman" w:hAnsi="Times New Roman" w:cs="Times New Roman"/>
          <w:sz w:val="24"/>
          <w:szCs w:val="24"/>
        </w:rPr>
        <w:t>0</w:t>
      </w:r>
      <w:r w:rsidRPr="0042351F">
        <w:rPr>
          <w:rFonts w:ascii="Times New Roman" w:hAnsi="Times New Roman" w:cs="Times New Roman"/>
          <w:sz w:val="24"/>
          <w:szCs w:val="24"/>
        </w:rPr>
        <w:t>. Мониторинг не проводится в отношении главных администраторов, которые были созданы и (или) реорганизованы в отчетном финансовом году и осуществляли свою деятельность менее шести месяцев отчетного финансового года.</w:t>
      </w:r>
    </w:p>
    <w:p w:rsidR="0043625D" w:rsidRPr="0042351F" w:rsidRDefault="00436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25D" w:rsidRDefault="00436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1465" w:rsidRDefault="003414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1465" w:rsidRDefault="003414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1465" w:rsidRDefault="003414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1465" w:rsidRDefault="003414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1465" w:rsidRDefault="003414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1465" w:rsidRDefault="003414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1465" w:rsidRDefault="003414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1465" w:rsidRDefault="003414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1465" w:rsidRDefault="003414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1465" w:rsidRDefault="003414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1465" w:rsidRDefault="003414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1465" w:rsidRDefault="003414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1465" w:rsidRDefault="003414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1465" w:rsidRDefault="003414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3"/>
        <w:gridCol w:w="1203"/>
        <w:gridCol w:w="2835"/>
        <w:gridCol w:w="1012"/>
        <w:gridCol w:w="1540"/>
        <w:gridCol w:w="2551"/>
      </w:tblGrid>
      <w:tr w:rsidR="00341465" w:rsidRPr="00341465" w:rsidTr="00341465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465" w:rsidRPr="00341465" w:rsidRDefault="00341465" w:rsidP="0034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</w:t>
            </w:r>
          </w:p>
        </w:tc>
      </w:tr>
      <w:tr w:rsidR="00341465" w:rsidRPr="00341465" w:rsidTr="00341465">
        <w:trPr>
          <w:trHeight w:val="6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Порядку проведения мониторинга качества                                                                                                                                                                                                            финансового менеджмента</w:t>
            </w:r>
          </w:p>
        </w:tc>
      </w:tr>
      <w:tr w:rsidR="00341465" w:rsidRPr="00341465" w:rsidTr="00341465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465" w:rsidRPr="00341465" w:rsidRDefault="00341465" w:rsidP="0034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465" w:rsidRPr="00341465" w:rsidTr="00341465">
        <w:trPr>
          <w:trHeight w:val="30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Показатели качества финансового менеджмента </w:t>
            </w:r>
          </w:p>
        </w:tc>
      </w:tr>
      <w:tr w:rsidR="00341465" w:rsidRPr="00341465" w:rsidTr="00341465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465" w:rsidRPr="00341465" w:rsidRDefault="00341465" w:rsidP="0034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465" w:rsidRPr="00341465" w:rsidTr="00341465">
        <w:trPr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Переменные, используемые для расчета показателя качества финансового менеджмента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баллов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 значения показателя качества финансового менеджмента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Комментарий</w:t>
            </w:r>
          </w:p>
        </w:tc>
      </w:tr>
      <w:tr w:rsidR="00341465" w:rsidRPr="00341465" w:rsidTr="00341465">
        <w:trPr>
          <w:trHeight w:val="300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Качество управления расходами бюджета</w:t>
            </w:r>
          </w:p>
        </w:tc>
      </w:tr>
      <w:tr w:rsidR="00341465" w:rsidRPr="00341465" w:rsidTr="00341465">
        <w:trPr>
          <w:trHeight w:val="3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Неправомерное использование бюджетных средств, в том числе нецелевое использование бюджетных средств</w:t>
            </w:r>
            <w:bookmarkStart w:id="1" w:name="_GoBack"/>
            <w:bookmarkEnd w:id="1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R = </w:t>
            </w:r>
            <w:proofErr w:type="spellStart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Sn</w:t>
            </w:r>
            <w:proofErr w:type="spellEnd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E x 100, где: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R - доля неправомерно использованных бюджетных средств (процент);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Sn</w:t>
            </w:r>
            <w:proofErr w:type="spellEnd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сумма неправомерного использования бюджетных сре</w:t>
            </w:r>
            <w:proofErr w:type="gramStart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дств в ч</w:t>
            </w:r>
            <w:proofErr w:type="gramEnd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асти расходов на финансовое обеспечение деятельности главного администратора (рублей);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E - кассовое исполнение расходов на финансовое обеспечение деятельности главного администратора (рублей)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E(R) = 1                                 E(R) =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E(R) = 1, если R &lt;= 1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E(R) = 0, если R &gt;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показателя характеризует степень соблюдения бюджетного законодательства и иных нормативных правовых актов Российской Федерации, регулирующих бюджетные правоотношения, в части исполнения бюджета, а также надежности внутреннего финансового контроля объекта мониторинга.</w:t>
            </w:r>
          </w:p>
        </w:tc>
      </w:tr>
      <w:tr w:rsidR="00341465" w:rsidRPr="00341465" w:rsidTr="00341465">
        <w:trPr>
          <w:trHeight w:val="30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Нарушение требований к формированию и представлению документов, необходимых для планирования и исполнения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R = </w:t>
            </w:r>
            <w:proofErr w:type="spellStart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Qd</w:t>
            </w:r>
            <w:proofErr w:type="spellEnd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где: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Qd</w:t>
            </w:r>
            <w:proofErr w:type="spellEnd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наличие фактов нарушения требований к срокам и полноте представления обоснований бюджетных ассигнований по расходам на финансовое обеспечение деятельности главного администратора в соответствии с Порядком составления проекта районного бюджета  на очередной финансовый год и плановый период (1 - "да", 0 - "нет")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E(R) = 1                                 E(R) =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E(R) = 0, если нарушения установлены;                          E(R) = 1, если нарушений не выявлено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показателя характеризует качество финансовой дисциплины, а также надежность внутреннего финансового контроля объекта мониторинга.</w:t>
            </w:r>
          </w:p>
        </w:tc>
      </w:tr>
      <w:tr w:rsidR="00341465" w:rsidRPr="00341465" w:rsidTr="00341465">
        <w:trPr>
          <w:trHeight w:val="36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Равномерность осуществления кассовых расходов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R = |I - VIV / </w:t>
            </w:r>
            <w:proofErr w:type="spellStart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Vav</w:t>
            </w:r>
            <w:proofErr w:type="spellEnd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| x 100, где: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R - отклонение объема кассовых расходов в IV квартале отчетного финансового года от среднего объема кассовых расходов за I - III кварталы отчетного финансового года (процент);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VIV - объем кассовых расходов в IV квартале отчетного финансового года (рублей);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Vav</w:t>
            </w:r>
            <w:proofErr w:type="spellEnd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средний объем кассовых расходов за I - III кварталы отчетного финансового года (рублей)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E(R) = 3                 E(R) = 2                E(R) = 1                E(R) =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E(R) = 3, если 0 &lt;= R &lt;= 28;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E(R) = 2, если 28 &lt; R &lt;= 30;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E(R)= 1, если 30 &lt; R &lt;= 35;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E(R) = 0, если R &gt; 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показателя характеризует равномерность исполнения расходов районного бюджета в отчетном периоде.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При расчете значения показателя не учитываются расходы, осуществляемые главным администратором за счет целевых безвозмездных поступлений из других бюджетов бюджетной системы Российской Федерации</w:t>
            </w:r>
          </w:p>
        </w:tc>
      </w:tr>
      <w:tr w:rsidR="00341465" w:rsidRPr="00341465" w:rsidTr="00341465">
        <w:trPr>
          <w:trHeight w:val="57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внесенных изменений в бюджетную роспись районного бюджета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R = </w:t>
            </w:r>
            <w:proofErr w:type="spellStart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Rn</w:t>
            </w:r>
            <w:proofErr w:type="spellEnd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где: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Rn</w:t>
            </w:r>
            <w:proofErr w:type="spellEnd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количество внесенных главным администратором изменений в бюджетную роспись районного бюджета по расходам на финансовое обеспечение деятельности главного администратора в отчетном финансовом году (единиц)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E(R) = 3                 E(R) = 2                E(R) = 1                E(R) =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E(R) = 3, если R &lt;= 1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E(R) = 2, если R = 2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E(R) = 1, если R = 3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E(R) = 0, если R &gt;=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Значение показателя характеризует качество планирования и организации исполнения главным администратором бюджетных ассигнований. </w:t>
            </w:r>
            <w:proofErr w:type="gramStart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расчете значения показателя учитываются изменения в бюджетную роспись, вносимые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 муниципальных услуг - в пределах общего объема бюджетных ассигнований, предусмотренных главному распорядителю в текущем финансовом году на оказание муниципальных услуг при условии, что</w:t>
            </w:r>
            <w:proofErr w:type="gramEnd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увеличение бюджетных ассигнований по соответствующему виду расходов не превышает 10 процентов</w:t>
            </w:r>
          </w:p>
        </w:tc>
      </w:tr>
      <w:tr w:rsidR="00341465" w:rsidRPr="00341465" w:rsidTr="00341465">
        <w:trPr>
          <w:trHeight w:val="4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не исполненных на конец отчетного финансового года бюджетных ассигнований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R = </w:t>
            </w:r>
            <w:proofErr w:type="spellStart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Vn</w:t>
            </w:r>
            <w:proofErr w:type="spellEnd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V x 100, где: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R - доля не исполненных на конец отчетного финансового года бюджетных ассигнований по главному администратору (процент);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Vn</w:t>
            </w:r>
            <w:proofErr w:type="spellEnd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объем не исполненных на конец отчетного финансового года бюджетных ассигнований главного администратора (рублей);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V - общий объем бюджетных ассигнований, предусмотренных главному администратору на отчетный финансовый год (рублей)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E(R) = 3                 E(R) = 2                E(R) = 1                E(R) =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E(R) = 3, если R&lt;= 1,5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E(R) = 2, если 1,5&lt;= R&lt; 3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E(R) = 1, если 3&lt;= R&lt; 5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E(R) = 0, если R &gt;= 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показателя характеризует качество планирования и исполнения главным администратором бюджетных ассигнований, предусмотренных сводной бюджетной росписью. Негативно расценивается значительный объем не исполненных на конец года бюджетных ассигнований</w:t>
            </w:r>
          </w:p>
        </w:tc>
      </w:tr>
      <w:tr w:rsidR="00341465" w:rsidRPr="00341465" w:rsidTr="00341465">
        <w:trPr>
          <w:trHeight w:val="60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Несоблюдение правил планирования закупок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R = </w:t>
            </w:r>
            <w:proofErr w:type="spellStart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Qz</w:t>
            </w:r>
            <w:proofErr w:type="spellEnd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где: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Qz</w:t>
            </w:r>
            <w:proofErr w:type="spellEnd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наличие фактов несоблюдения главным администратором правил планирования закупок (1 - "да", 0 - "нет")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E(R) = 1                                 E(R) =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E(R) = 0, если постановления о назначении административного наказания вступили в силу;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E(R) = 1, если нарушений не выявлено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показателя характеризует качество финансовой дисциплины, а также надежность внутреннего финансового контроля объекта мониторинга в сфере закупок.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Несоблюдением правил планирования закупок является включение в план закупок необоснованных объектов закупок, начальных (максимальных) цен контрактов; несоблюдение порядка или формы обоснования начальной (максимальной) цены контракта, а также обоснования объекта закупки (за исключением описания объекта закупки); нарушение порядка (сроков) проведения или </w:t>
            </w:r>
            <w:proofErr w:type="spellStart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непроведение</w:t>
            </w:r>
            <w:proofErr w:type="spellEnd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обязательного общественного обсуждения закупок;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закупок.</w:t>
            </w:r>
          </w:p>
        </w:tc>
      </w:tr>
      <w:tr w:rsidR="00341465" w:rsidRPr="00341465" w:rsidTr="00341465">
        <w:trPr>
          <w:trHeight w:val="3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судебных решений, вступивших в законную силу в отчетном периоде и предусматривающих полное или частичное удовлетворение исковых требований о возмещении ущерба от незаконных действий или бездействия главного администратора или его должностных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 = {0 (да) / 1 (нет)}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E(R) = 1                                 E(R) =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E(R) = 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Негативно расценивается наличие судебных актов Российской Федерации и мировых соглашений по возмещению вреда, причиненного в результате незаконных действий (бездействия) главного администратора либо его должностных лиц, влекущих дополнительные расходы районного бюджета </w:t>
            </w:r>
          </w:p>
        </w:tc>
      </w:tr>
      <w:tr w:rsidR="00341465" w:rsidRPr="00341465" w:rsidTr="00341465">
        <w:trPr>
          <w:trHeight w:val="30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решения налогового органа о взыскании налога, сбора, страхового взноса, пеней и штрафов к главному администратору, предусматривающих обращение взыскания на средства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 = {0 (да) / 1 (нет)}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E(R) = 1                                 E(R) =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E(R) = 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Негативно расценивается наличие решения налогового органа о взыскании налога, сбора, страхового взноса, пеней и штрафов к главному администратору, предусматривающих обращение взыскания на средства бюджетов бюджетной системы Российской Федерации</w:t>
            </w:r>
          </w:p>
        </w:tc>
      </w:tr>
      <w:tr w:rsidR="00341465" w:rsidRPr="00341465" w:rsidTr="00341465">
        <w:trPr>
          <w:trHeight w:val="15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Эффективность управления кредиторской задолженностью и дебиторской задолженностью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 = {0 (да) / 1 (нет)}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E(R) = 1                                 E(R) =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E(R) = 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показателя характеризует отсутствие (наличие) просроченной кредиторской и дебиторской задолженности</w:t>
            </w:r>
          </w:p>
        </w:tc>
      </w:tr>
      <w:tr w:rsidR="00341465" w:rsidRPr="00341465" w:rsidTr="00341465">
        <w:trPr>
          <w:trHeight w:val="300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Качество управления доходами бюджета</w:t>
            </w:r>
          </w:p>
        </w:tc>
      </w:tr>
      <w:tr w:rsidR="00341465" w:rsidRPr="00341465" w:rsidTr="00341465">
        <w:trPr>
          <w:trHeight w:val="3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утвержденных доходов по администрируемым налоговым и неналоговым доходам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R = </w:t>
            </w:r>
            <w:proofErr w:type="spellStart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Id</w:t>
            </w:r>
            <w:proofErr w:type="spellEnd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/1 x 100, где: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R - доля исполненных в отчетном финансовом году сумм доходов по администрируемым налоговым и неналоговым доходам (процент);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Id</w:t>
            </w:r>
            <w:proofErr w:type="spellEnd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объем исполненных в отчетном финансовом году сумм доходов по администрируемым налоговым и неналоговым доходам (рублей);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I - объем утвержденных на отчетный финансовый год сумм доходов по администрируемым налоговым и неналоговым доходам (рублей)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E(R) = 3                 E(R) = 2                E(R) = 1                E(R) =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E(R) = 3,если R &gt;= 100;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E(R) = 2,если 95&lt;= R&lt; 100 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E(R) = 1,если 90&lt;= R&lt; 95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E(R) = 0,если R&lt; 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Негативно расценивается недовыполнение прогноза поступлений доходов для администратора доходов районного бюджета </w:t>
            </w:r>
          </w:p>
        </w:tc>
      </w:tr>
      <w:tr w:rsidR="00341465" w:rsidRPr="00341465" w:rsidTr="00341465">
        <w:trPr>
          <w:trHeight w:val="300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Качество ведения учета и составления бюджетной отчетности</w:t>
            </w:r>
          </w:p>
        </w:tc>
      </w:tr>
      <w:tr w:rsidR="00341465" w:rsidRPr="00341465" w:rsidTr="00341465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Нарушение порядка формирования и представления бюджетной отчетности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 = {0 (да) / 1 (нет)}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R -  отсутствие (наличие) замечаний (недостатков)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E(R) = 1                                 E(R) =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E(R) = 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показателя характеризует надежность внутреннего финансового контроля объекта мониторинга.</w:t>
            </w:r>
          </w:p>
        </w:tc>
      </w:tr>
      <w:tr w:rsidR="00341465" w:rsidRPr="00341465" w:rsidTr="00341465">
        <w:trPr>
          <w:trHeight w:val="21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инвентаризации активов и обязательств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 = {1 (да) / 0 (нет)}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R - проведение инвентаризации активов и обязатель</w:t>
            </w:r>
            <w:proofErr w:type="gramStart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ств в сл</w:t>
            </w:r>
            <w:proofErr w:type="gramEnd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учаях, сроках и порядке, установленных законодательством Российской Федерации, федеральными и отраслевыми стандартами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E(R) = 1                                 E(R) =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E(R) = 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Позитивно рассматривается факт проведения инвентаризации активов и обязатель</w:t>
            </w:r>
            <w:proofErr w:type="gramStart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ств в сл</w:t>
            </w:r>
            <w:proofErr w:type="gramEnd"/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учаях, сроках и порядке, установленных законодательством Российской Федерации, федеральными и отраслевыми стандартами</w:t>
            </w:r>
          </w:p>
        </w:tc>
      </w:tr>
      <w:tr w:rsidR="00341465" w:rsidRPr="00341465" w:rsidTr="00341465">
        <w:trPr>
          <w:trHeight w:val="18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Степень достоверности бюджетной отчетности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 = {0 (да) / 1 (нет)}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R - наличие замечаний и недостатков в отчете об исполнении областного бюджета, представленном главными администраторами, по результатам внешней проверки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E(R) = 1                                 E(R) =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E(R) = 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Степень достоверности бюджетной отчетности, определенная по результатам внешней проверки годового отчета об исполнении бюджета, проведенной в соответствии со ст. 264.4 БК РФ.</w:t>
            </w:r>
          </w:p>
        </w:tc>
      </w:tr>
      <w:tr w:rsidR="00341465" w:rsidRPr="00341465" w:rsidTr="00341465">
        <w:trPr>
          <w:trHeight w:val="300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 Качество организации и осуществления внутреннего финансового аудита</w:t>
            </w:r>
          </w:p>
        </w:tc>
      </w:tr>
      <w:tr w:rsidR="00341465" w:rsidRPr="00341465" w:rsidTr="00341465">
        <w:trPr>
          <w:trHeight w:val="66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Качество организации и осуществления внутреннего финансового аудита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 - организация и осуществление главными администраторами внутреннего финансового аудита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E(R) = 2                E(R) = 1                E(R) =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E(R) = R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E(R) = 0, если нормативный правовой акт, регламентирующий организацию и осуществление внутреннего финансового аудита, не утвержден, внутренний финансовый аудит не осуществляется;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E(R) = 1, если нормативный правовой акт, регламентирующий организацию и осуществление внутреннего финансового аудита, утвержден, но внутренний финансовый аудит не осуществляется;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E(R) = 2, если нормативный правовой акт, регламентирующий организацию и осуществление внутреннего финансового аудита, утвержден, внутренний финансовый аудит осуществляется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показателя характеризует качество осуществления финансового аудита в соответствии с положениями федеральных стандартов.</w:t>
            </w:r>
          </w:p>
        </w:tc>
      </w:tr>
      <w:tr w:rsidR="00341465" w:rsidRPr="00341465" w:rsidTr="00341465">
        <w:trPr>
          <w:trHeight w:val="300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 Качество управления активами</w:t>
            </w:r>
          </w:p>
        </w:tc>
      </w:tr>
      <w:tr w:rsidR="00341465" w:rsidRPr="00341465" w:rsidTr="00341465">
        <w:trPr>
          <w:trHeight w:val="21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Недостачи и хищения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 = {0 (да) /1 (нет)}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R - факты недостач и хищений муниципальной собственности, выявленных по результатам проверки, в том числе проведенной органами муниципального финансового контроля за отчетный период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E(R) = 1                                 E(R) =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E(R) = 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Негативно расценивается наличие фактов недостач и хищений муниципальной собственности, выявленных по результатам проверки, в том числе проведенной органами муниципального финансового контроля.</w:t>
            </w:r>
          </w:p>
        </w:tc>
      </w:tr>
      <w:tr w:rsidR="00341465" w:rsidRPr="00341465" w:rsidTr="00341465">
        <w:trPr>
          <w:trHeight w:val="27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Нарушение при управлении и распоряжении муниципальной собственностью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 = {0 (да) / 1 (нет)}</w:t>
            </w: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R - нарушения, допущенные главными администраторами при управлении и распоряжении муниципальной собственностью, выявленные по результатам проверок, проведенных уполномоченными органами муниципального финансового контроля в отчетном финансовом году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E(R) = 1                                 E(R) = 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E(R) = 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65" w:rsidRPr="00341465" w:rsidRDefault="00341465" w:rsidP="0034146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4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Негативно расценивается наличие фактов нарушений при управлении и распоряжении государственной муниципальной собственностью, выявленных по результатам проверки, в том числе проведенной органами муниципального финансового контроля.</w:t>
            </w:r>
          </w:p>
        </w:tc>
      </w:tr>
    </w:tbl>
    <w:p w:rsidR="00341465" w:rsidRPr="00341465" w:rsidRDefault="0034146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86979" w:rsidRPr="0042351F" w:rsidRDefault="00886979" w:rsidP="0008135B">
      <w:pPr>
        <w:rPr>
          <w:rFonts w:ascii="Times New Roman" w:hAnsi="Times New Roman" w:cs="Times New Roman"/>
          <w:sz w:val="24"/>
          <w:szCs w:val="24"/>
        </w:rPr>
      </w:pPr>
    </w:p>
    <w:sectPr w:rsidR="00886979" w:rsidRPr="0042351F" w:rsidSect="00397B69">
      <w:pgSz w:w="11905" w:h="16838" w:code="9"/>
      <w:pgMar w:top="851" w:right="567" w:bottom="567" w:left="1701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5505D"/>
    <w:multiLevelType w:val="multilevel"/>
    <w:tmpl w:val="B0B2529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eastAsia="Times New Roman" w:cs="Times New Roman" w:hint="default"/>
        <w:color w:val="242424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eastAsia="Times New Roman" w:cs="Times New Roman" w:hint="default"/>
        <w:color w:val="242424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eastAsia="Times New Roman" w:cs="Times New Roman" w:hint="default"/>
        <w:color w:val="242424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eastAsia="Times New Roman" w:cs="Times New Roman" w:hint="default"/>
        <w:color w:val="242424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eastAsia="Times New Roman" w:cs="Times New Roman" w:hint="default"/>
        <w:color w:val="242424"/>
      </w:rPr>
    </w:lvl>
    <w:lvl w:ilvl="6">
      <w:start w:val="1"/>
      <w:numFmt w:val="decimal"/>
      <w:isLgl/>
      <w:lvlText w:val="%1.%2.%3.%4.%5.%6.%7."/>
      <w:lvlJc w:val="left"/>
      <w:pPr>
        <w:ind w:left="5985" w:hanging="1800"/>
      </w:pPr>
      <w:rPr>
        <w:rFonts w:eastAsia="Times New Roman" w:cs="Times New Roman" w:hint="default"/>
        <w:color w:val="242424"/>
      </w:rPr>
    </w:lvl>
    <w:lvl w:ilvl="7">
      <w:start w:val="1"/>
      <w:numFmt w:val="decimal"/>
      <w:isLgl/>
      <w:lvlText w:val="%1.%2.%3.%4.%5.%6.%7.%8."/>
      <w:lvlJc w:val="left"/>
      <w:pPr>
        <w:ind w:left="6660" w:hanging="1800"/>
      </w:pPr>
      <w:rPr>
        <w:rFonts w:eastAsia="Times New Roman" w:cs="Times New Roman" w:hint="default"/>
        <w:color w:val="242424"/>
      </w:rPr>
    </w:lvl>
    <w:lvl w:ilvl="8">
      <w:start w:val="1"/>
      <w:numFmt w:val="decimal"/>
      <w:isLgl/>
      <w:lvlText w:val="%1.%2.%3.%4.%5.%6.%7.%8.%9."/>
      <w:lvlJc w:val="left"/>
      <w:pPr>
        <w:ind w:left="7695" w:hanging="2160"/>
      </w:pPr>
      <w:rPr>
        <w:rFonts w:eastAsia="Times New Roman" w:cs="Times New Roman" w:hint="default"/>
        <w:color w:val="2424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5D"/>
    <w:rsid w:val="00001912"/>
    <w:rsid w:val="000169EE"/>
    <w:rsid w:val="00035348"/>
    <w:rsid w:val="00036043"/>
    <w:rsid w:val="00046480"/>
    <w:rsid w:val="000570FD"/>
    <w:rsid w:val="00072524"/>
    <w:rsid w:val="0008135B"/>
    <w:rsid w:val="000A01AD"/>
    <w:rsid w:val="000C4B3D"/>
    <w:rsid w:val="000C6926"/>
    <w:rsid w:val="000D47AE"/>
    <w:rsid w:val="000D760D"/>
    <w:rsid w:val="00137C1B"/>
    <w:rsid w:val="00154B61"/>
    <w:rsid w:val="00171FBB"/>
    <w:rsid w:val="001B06D0"/>
    <w:rsid w:val="001D1EB1"/>
    <w:rsid w:val="001D30BE"/>
    <w:rsid w:val="001F06C2"/>
    <w:rsid w:val="00220DC1"/>
    <w:rsid w:val="00222AAD"/>
    <w:rsid w:val="00232F0B"/>
    <w:rsid w:val="00250996"/>
    <w:rsid w:val="00277954"/>
    <w:rsid w:val="00282DEE"/>
    <w:rsid w:val="002938DE"/>
    <w:rsid w:val="002B04D1"/>
    <w:rsid w:val="002C3139"/>
    <w:rsid w:val="002F26E1"/>
    <w:rsid w:val="002F2DEC"/>
    <w:rsid w:val="00305A99"/>
    <w:rsid w:val="003239E0"/>
    <w:rsid w:val="003244D9"/>
    <w:rsid w:val="00330028"/>
    <w:rsid w:val="00341465"/>
    <w:rsid w:val="003414CF"/>
    <w:rsid w:val="003441E5"/>
    <w:rsid w:val="00354BC2"/>
    <w:rsid w:val="00356CF1"/>
    <w:rsid w:val="00376750"/>
    <w:rsid w:val="003768F6"/>
    <w:rsid w:val="00380650"/>
    <w:rsid w:val="00382124"/>
    <w:rsid w:val="003951BC"/>
    <w:rsid w:val="00397B69"/>
    <w:rsid w:val="003A0831"/>
    <w:rsid w:val="003C14AB"/>
    <w:rsid w:val="003E2EDC"/>
    <w:rsid w:val="003E494C"/>
    <w:rsid w:val="003F3FFB"/>
    <w:rsid w:val="0042351F"/>
    <w:rsid w:val="0042694C"/>
    <w:rsid w:val="0043625D"/>
    <w:rsid w:val="00437D67"/>
    <w:rsid w:val="004411D4"/>
    <w:rsid w:val="004871A0"/>
    <w:rsid w:val="004A6C74"/>
    <w:rsid w:val="004C0C94"/>
    <w:rsid w:val="004C4058"/>
    <w:rsid w:val="004D33B2"/>
    <w:rsid w:val="00510014"/>
    <w:rsid w:val="00531075"/>
    <w:rsid w:val="0055039C"/>
    <w:rsid w:val="0056172C"/>
    <w:rsid w:val="00566F49"/>
    <w:rsid w:val="005726B6"/>
    <w:rsid w:val="005768EA"/>
    <w:rsid w:val="00596B48"/>
    <w:rsid w:val="005A186B"/>
    <w:rsid w:val="005C4413"/>
    <w:rsid w:val="00624809"/>
    <w:rsid w:val="006647BC"/>
    <w:rsid w:val="00671FDE"/>
    <w:rsid w:val="00673EA9"/>
    <w:rsid w:val="006B79D2"/>
    <w:rsid w:val="006D5FFF"/>
    <w:rsid w:val="006E120A"/>
    <w:rsid w:val="0070783E"/>
    <w:rsid w:val="00723B74"/>
    <w:rsid w:val="007244FE"/>
    <w:rsid w:val="00726D81"/>
    <w:rsid w:val="00776C09"/>
    <w:rsid w:val="00795EF5"/>
    <w:rsid w:val="007B0E6C"/>
    <w:rsid w:val="007D3329"/>
    <w:rsid w:val="007D4B4D"/>
    <w:rsid w:val="007F291F"/>
    <w:rsid w:val="007F3D32"/>
    <w:rsid w:val="007F4760"/>
    <w:rsid w:val="00806D6E"/>
    <w:rsid w:val="00875384"/>
    <w:rsid w:val="00883AFE"/>
    <w:rsid w:val="00886979"/>
    <w:rsid w:val="008A4A93"/>
    <w:rsid w:val="008C08E1"/>
    <w:rsid w:val="008C29A9"/>
    <w:rsid w:val="008C5E4F"/>
    <w:rsid w:val="008C7501"/>
    <w:rsid w:val="008D4300"/>
    <w:rsid w:val="008D5E18"/>
    <w:rsid w:val="008E229A"/>
    <w:rsid w:val="008F3F51"/>
    <w:rsid w:val="008F5F44"/>
    <w:rsid w:val="00903F09"/>
    <w:rsid w:val="00914E10"/>
    <w:rsid w:val="00915E45"/>
    <w:rsid w:val="0092663D"/>
    <w:rsid w:val="009753BD"/>
    <w:rsid w:val="00996056"/>
    <w:rsid w:val="009B065F"/>
    <w:rsid w:val="009C132E"/>
    <w:rsid w:val="009C375F"/>
    <w:rsid w:val="009F5CF8"/>
    <w:rsid w:val="00A267F6"/>
    <w:rsid w:val="00A4643D"/>
    <w:rsid w:val="00A7117C"/>
    <w:rsid w:val="00A72CA8"/>
    <w:rsid w:val="00A8323D"/>
    <w:rsid w:val="00A91A80"/>
    <w:rsid w:val="00AD4B0F"/>
    <w:rsid w:val="00B00CB7"/>
    <w:rsid w:val="00B1220A"/>
    <w:rsid w:val="00B36464"/>
    <w:rsid w:val="00B46775"/>
    <w:rsid w:val="00B90A39"/>
    <w:rsid w:val="00BA00B8"/>
    <w:rsid w:val="00BB4F8F"/>
    <w:rsid w:val="00BC071D"/>
    <w:rsid w:val="00BC1FBC"/>
    <w:rsid w:val="00BE724E"/>
    <w:rsid w:val="00C315FB"/>
    <w:rsid w:val="00C40B01"/>
    <w:rsid w:val="00C461F6"/>
    <w:rsid w:val="00C57BA7"/>
    <w:rsid w:val="00C7545D"/>
    <w:rsid w:val="00C7769E"/>
    <w:rsid w:val="00C90FD2"/>
    <w:rsid w:val="00CA01E1"/>
    <w:rsid w:val="00CA5146"/>
    <w:rsid w:val="00CB0DE9"/>
    <w:rsid w:val="00CC127D"/>
    <w:rsid w:val="00CC3C8D"/>
    <w:rsid w:val="00CD1F7A"/>
    <w:rsid w:val="00CE0B18"/>
    <w:rsid w:val="00CE4E94"/>
    <w:rsid w:val="00D51B5F"/>
    <w:rsid w:val="00D529DA"/>
    <w:rsid w:val="00D573D0"/>
    <w:rsid w:val="00D70E8C"/>
    <w:rsid w:val="00D76726"/>
    <w:rsid w:val="00D8287F"/>
    <w:rsid w:val="00D874E6"/>
    <w:rsid w:val="00D9797F"/>
    <w:rsid w:val="00DB7C1A"/>
    <w:rsid w:val="00E13435"/>
    <w:rsid w:val="00E265C4"/>
    <w:rsid w:val="00E71BAE"/>
    <w:rsid w:val="00E90FD3"/>
    <w:rsid w:val="00EF00CF"/>
    <w:rsid w:val="00EF1839"/>
    <w:rsid w:val="00F22163"/>
    <w:rsid w:val="00F41296"/>
    <w:rsid w:val="00F428C3"/>
    <w:rsid w:val="00F5091C"/>
    <w:rsid w:val="00F6123D"/>
    <w:rsid w:val="00F644DF"/>
    <w:rsid w:val="00F733E4"/>
    <w:rsid w:val="00F77ED5"/>
    <w:rsid w:val="00FB4C60"/>
    <w:rsid w:val="00FC501C"/>
    <w:rsid w:val="00FC5CE2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2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362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362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_"/>
    <w:basedOn w:val="a0"/>
    <w:link w:val="1"/>
    <w:locked/>
    <w:rsid w:val="004C0C94"/>
    <w:rPr>
      <w:rFonts w:ascii="Times New Roman" w:eastAsia="Times New Roman" w:hAnsi="Times New Roman" w:cs="Times New Roman"/>
      <w:color w:val="1D1D1D"/>
    </w:rPr>
  </w:style>
  <w:style w:type="paragraph" w:customStyle="1" w:styleId="1">
    <w:name w:val="Основной текст1"/>
    <w:basedOn w:val="a"/>
    <w:link w:val="a3"/>
    <w:rsid w:val="004C0C94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color w:val="1D1D1D"/>
    </w:rPr>
  </w:style>
  <w:style w:type="paragraph" w:styleId="a4">
    <w:name w:val="No Spacing"/>
    <w:uiPriority w:val="1"/>
    <w:qFormat/>
    <w:rsid w:val="006D5FFF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50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97B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2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362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362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_"/>
    <w:basedOn w:val="a0"/>
    <w:link w:val="1"/>
    <w:locked/>
    <w:rsid w:val="004C0C94"/>
    <w:rPr>
      <w:rFonts w:ascii="Times New Roman" w:eastAsia="Times New Roman" w:hAnsi="Times New Roman" w:cs="Times New Roman"/>
      <w:color w:val="1D1D1D"/>
    </w:rPr>
  </w:style>
  <w:style w:type="paragraph" w:customStyle="1" w:styleId="1">
    <w:name w:val="Основной текст1"/>
    <w:basedOn w:val="a"/>
    <w:link w:val="a3"/>
    <w:rsid w:val="004C0C94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color w:val="1D1D1D"/>
    </w:rPr>
  </w:style>
  <w:style w:type="paragraph" w:styleId="a4">
    <w:name w:val="No Spacing"/>
    <w:uiPriority w:val="1"/>
    <w:qFormat/>
    <w:rsid w:val="006D5FFF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50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97B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6E654C7E48973FFF9F501D34E9C9340E611579E83882CDC77121F94D4CCB3AE8529BBA2CA456934069EA7C58063B3AAA4E5E036B144Z7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5E6E654C7E48973FFF9F501D34E9C9340E611579E83882CDC77121F94D4CCB3AE8529BBA2CB4C6934069EA7C58063B3AAA4E5E036B144Z7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D8DA8-CA76-4899-8FD9-85D4F41D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8</Pages>
  <Words>2667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LEVKOVA</dc:creator>
  <cp:keywords/>
  <dc:description/>
  <cp:lastModifiedBy>Aleksei</cp:lastModifiedBy>
  <cp:revision>201</cp:revision>
  <dcterms:created xsi:type="dcterms:W3CDTF">2022-11-29T13:25:00Z</dcterms:created>
  <dcterms:modified xsi:type="dcterms:W3CDTF">2022-12-13T06:24:00Z</dcterms:modified>
</cp:coreProperties>
</file>