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63C" w14:textId="77777777"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9C3E49" w:rsidRDefault="007F47F2" w:rsidP="009C3E49">
      <w:pPr>
        <w:spacing w:line="276" w:lineRule="auto"/>
        <w:jc w:val="center"/>
      </w:pPr>
      <w:r w:rsidRPr="009C3E49">
        <w:t>РЕШЕНИЕ</w:t>
      </w:r>
    </w:p>
    <w:p w14:paraId="3DE060D1" w14:textId="7777777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A134F9" w:rsidRPr="009C3E49" w14:paraId="6CD416B1" w14:textId="77777777" w:rsidTr="009C3E49">
        <w:tc>
          <w:tcPr>
            <w:tcW w:w="6062" w:type="dxa"/>
          </w:tcPr>
          <w:p w14:paraId="6E8DA15D" w14:textId="3684C596" w:rsidR="00A134F9" w:rsidRPr="009C3E49" w:rsidRDefault="00A134F9" w:rsidP="00F67801">
            <w:pPr>
              <w:spacing w:line="276" w:lineRule="auto"/>
              <w:jc w:val="both"/>
            </w:pPr>
            <w:r w:rsidRPr="009C3E49">
              <w:t xml:space="preserve">от </w:t>
            </w:r>
            <w:r w:rsidR="00ED581B">
              <w:t>24.04.2023г</w:t>
            </w:r>
            <w:r w:rsidRPr="009C3E49">
              <w:t xml:space="preserve"> №</w:t>
            </w:r>
            <w:r>
              <w:t xml:space="preserve"> </w:t>
            </w:r>
            <w:r w:rsidR="00ED581B">
              <w:t>4/1</w:t>
            </w:r>
          </w:p>
        </w:tc>
        <w:tc>
          <w:tcPr>
            <w:tcW w:w="3685" w:type="dxa"/>
          </w:tcPr>
          <w:p w14:paraId="4A745B01" w14:textId="77777777" w:rsidR="00A134F9" w:rsidRPr="009C3E49" w:rsidRDefault="00A134F9" w:rsidP="009C3E49">
            <w:pPr>
              <w:spacing w:line="276" w:lineRule="auto"/>
              <w:jc w:val="both"/>
            </w:pPr>
          </w:p>
        </w:tc>
      </w:tr>
      <w:tr w:rsidR="00A134F9" w:rsidRPr="009C3E49" w14:paraId="09A49E33" w14:textId="77777777" w:rsidTr="009C3E49">
        <w:tc>
          <w:tcPr>
            <w:tcW w:w="6062" w:type="dxa"/>
          </w:tcPr>
          <w:p w14:paraId="2AF8669B" w14:textId="74E7DA73" w:rsidR="00A134F9" w:rsidRPr="009C3E49" w:rsidRDefault="00A134F9" w:rsidP="00F67801">
            <w:pPr>
              <w:spacing w:line="276" w:lineRule="auto"/>
              <w:jc w:val="both"/>
            </w:pPr>
            <w:proofErr w:type="spellStart"/>
            <w:r>
              <w:t>р</w:t>
            </w:r>
            <w:r w:rsidRPr="009C3E49">
              <w:t>п</w:t>
            </w:r>
            <w:proofErr w:type="spellEnd"/>
            <w:r w:rsidRPr="009C3E49">
              <w:t>. Навля</w:t>
            </w:r>
          </w:p>
        </w:tc>
        <w:tc>
          <w:tcPr>
            <w:tcW w:w="3685" w:type="dxa"/>
          </w:tcPr>
          <w:p w14:paraId="16850F32" w14:textId="77777777" w:rsidR="00A134F9" w:rsidRPr="009C3E49" w:rsidRDefault="00A134F9" w:rsidP="009C3E49">
            <w:pPr>
              <w:spacing w:line="276" w:lineRule="auto"/>
              <w:jc w:val="both"/>
            </w:pPr>
          </w:p>
        </w:tc>
      </w:tr>
      <w:tr w:rsidR="00A134F9" w:rsidRPr="009C3E49" w14:paraId="04F3C106" w14:textId="77777777" w:rsidTr="009C3E49">
        <w:tc>
          <w:tcPr>
            <w:tcW w:w="6062" w:type="dxa"/>
          </w:tcPr>
          <w:p w14:paraId="42779A3A" w14:textId="77777777" w:rsidR="00A134F9" w:rsidRPr="009C3E49" w:rsidRDefault="00A134F9" w:rsidP="00F67801">
            <w:pPr>
              <w:spacing w:line="276" w:lineRule="auto"/>
              <w:jc w:val="both"/>
            </w:pPr>
          </w:p>
        </w:tc>
        <w:tc>
          <w:tcPr>
            <w:tcW w:w="3685" w:type="dxa"/>
          </w:tcPr>
          <w:p w14:paraId="01646E9A" w14:textId="77777777" w:rsidR="00A134F9" w:rsidRPr="009C3E49" w:rsidRDefault="00A134F9" w:rsidP="009C3E49">
            <w:pPr>
              <w:spacing w:line="276" w:lineRule="auto"/>
              <w:jc w:val="both"/>
            </w:pPr>
          </w:p>
        </w:tc>
      </w:tr>
      <w:tr w:rsidR="00130714" w:rsidRPr="009C3E49" w14:paraId="5CBA9B8F" w14:textId="77777777" w:rsidTr="009C3E49">
        <w:tc>
          <w:tcPr>
            <w:tcW w:w="6062" w:type="dxa"/>
          </w:tcPr>
          <w:p w14:paraId="618B5533" w14:textId="4C98436F"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294182">
              <w:t>1</w:t>
            </w:r>
            <w:r w:rsidRPr="009C3E49">
              <w:t xml:space="preserve"> квартал 20</w:t>
            </w:r>
            <w:r w:rsidR="00C50EDF">
              <w:t>2</w:t>
            </w:r>
            <w:r w:rsidR="00405AB8">
              <w:t>3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52BDD8C1"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bookmarkStart w:id="1" w:name="_Hlk132636103"/>
      <w:r w:rsidRPr="00777148">
        <w:t xml:space="preserve">заместителя </w:t>
      </w:r>
      <w:bookmarkStart w:id="2" w:name="_Hlk68614806"/>
      <w:r w:rsidR="00405AB8">
        <w:t xml:space="preserve">главы администрации района, </w:t>
      </w:r>
      <w:r w:rsidR="00791AAA">
        <w:t>начальника финансового управления администрации района</w:t>
      </w:r>
      <w:r w:rsidR="00777148" w:rsidRPr="00777148">
        <w:t xml:space="preserve"> </w:t>
      </w:r>
      <w:bookmarkEnd w:id="2"/>
      <w:r w:rsidR="00405AB8">
        <w:t>Сонных Т.А.</w:t>
      </w:r>
      <w:bookmarkEnd w:id="1"/>
      <w:r w:rsidR="00FD6E21">
        <w:t xml:space="preserve"> </w:t>
      </w:r>
      <w:r w:rsidR="00BE60AE">
        <w:t>к</w:t>
      </w:r>
      <w:r w:rsidRPr="00777148">
        <w:t>оллегия</w:t>
      </w:r>
      <w:r w:rsidRPr="009C3E49">
        <w:t xml:space="preserve"> </w:t>
      </w:r>
      <w:r w:rsidR="00BE60AE">
        <w:t xml:space="preserve">при главе администрации </w:t>
      </w:r>
      <w:r w:rsidRPr="009C3E49">
        <w:t>отмечает:</w:t>
      </w:r>
    </w:p>
    <w:p w14:paraId="149C6E75" w14:textId="110B2235" w:rsidR="00D17698" w:rsidRPr="00D17698" w:rsidRDefault="00D17698" w:rsidP="00D17698">
      <w:pPr>
        <w:spacing w:line="276" w:lineRule="auto"/>
        <w:ind w:firstLine="567"/>
        <w:jc w:val="both"/>
      </w:pPr>
      <w:r w:rsidRPr="00D17698">
        <w:t>Бюджет Навлинского муниципального района за 1 квартал 2023 года исполнен по доходам в сумме 111 302 тыс. руб., расходам -  в сумме 103 347 тыс. руб., с превышением доходов над расходами (профицит бюджета) в сумме 7 955 тыс. руб.</w:t>
      </w:r>
    </w:p>
    <w:p w14:paraId="5C589D93" w14:textId="4EA1F900" w:rsidR="00D17698" w:rsidRPr="000C45FD" w:rsidRDefault="00D17698" w:rsidP="00D17698">
      <w:pPr>
        <w:tabs>
          <w:tab w:val="left" w:pos="567"/>
        </w:tabs>
        <w:spacing w:before="240" w:line="276" w:lineRule="auto"/>
        <w:ind w:firstLine="567"/>
        <w:jc w:val="both"/>
      </w:pPr>
      <w:r w:rsidRPr="00D17698">
        <w:t xml:space="preserve">Доходы бюджета муниципального района увеличены к уровню прошлого года на 4 377 тыс. руб. </w:t>
      </w:r>
      <w:r>
        <w:t xml:space="preserve">и </w:t>
      </w:r>
      <w:r w:rsidRPr="00BD7875">
        <w:t>составили</w:t>
      </w:r>
      <w:r w:rsidRPr="000C45FD">
        <w:t xml:space="preserve"> </w:t>
      </w:r>
      <w:r>
        <w:t>111 302</w:t>
      </w:r>
      <w:r w:rsidRPr="000C45FD">
        <w:t xml:space="preserve"> тыс. руб., </w:t>
      </w:r>
      <w:r>
        <w:t>или</w:t>
      </w:r>
      <w:r w:rsidRPr="000C45FD">
        <w:t xml:space="preserve"> </w:t>
      </w:r>
      <w:r>
        <w:t>17,2</w:t>
      </w:r>
      <w:r w:rsidRPr="000C45FD">
        <w:t>%</w:t>
      </w:r>
      <w:r>
        <w:t xml:space="preserve"> годового плана</w:t>
      </w:r>
      <w:r w:rsidRPr="000C45FD">
        <w:t xml:space="preserve">. </w:t>
      </w:r>
    </w:p>
    <w:p w14:paraId="0880267C" w14:textId="732BF5CF" w:rsidR="00D418DA" w:rsidRPr="00D418DA" w:rsidRDefault="00D418DA" w:rsidP="00D418DA">
      <w:pPr>
        <w:spacing w:line="276" w:lineRule="auto"/>
        <w:ind w:firstLine="567"/>
        <w:jc w:val="both"/>
      </w:pPr>
      <w:r w:rsidRPr="00D418DA">
        <w:t>В структуре доходов налоговые и неналоговые доходы занимают 25,0%, безвозмездные поступления из других уровней бюджетной системы – 75,0%.</w:t>
      </w:r>
    </w:p>
    <w:p w14:paraId="3E527369" w14:textId="5EC811BD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Объем поступлений налоговых и неналоговых доходов составил 27 827 тыс. руб., </w:t>
      </w:r>
      <w:r w:rsidR="00D17698">
        <w:t>или</w:t>
      </w:r>
      <w:r w:rsidR="00D17698" w:rsidRPr="000C45FD">
        <w:t xml:space="preserve"> </w:t>
      </w:r>
      <w:r w:rsidR="00D17698" w:rsidRPr="00D418DA">
        <w:t>18,0%</w:t>
      </w:r>
      <w:r w:rsidR="00D17698">
        <w:t xml:space="preserve"> годового плана</w:t>
      </w:r>
      <w:r w:rsidR="00D17698" w:rsidRPr="000C45FD">
        <w:t xml:space="preserve">. </w:t>
      </w:r>
      <w:r w:rsidRPr="00D418DA">
        <w:t>Удельный вес налогов</w:t>
      </w:r>
      <w:r w:rsidR="0004036A">
        <w:t>ых платежей</w:t>
      </w:r>
      <w:r w:rsidRPr="00D418DA">
        <w:t xml:space="preserve"> в общей сумме налоговых и неналоговых доходов составил 80,9%, неналоговых –19,1%. </w:t>
      </w:r>
    </w:p>
    <w:p w14:paraId="7C2259C2" w14:textId="39CC0B90" w:rsidR="00D418DA" w:rsidRPr="00D418DA" w:rsidRDefault="0004036A" w:rsidP="00C520C9">
      <w:pPr>
        <w:spacing w:line="276" w:lineRule="auto"/>
        <w:ind w:firstLine="567"/>
        <w:jc w:val="both"/>
      </w:pPr>
      <w:r>
        <w:t>З</w:t>
      </w:r>
      <w:r w:rsidR="00D418DA" w:rsidRPr="00D418DA">
        <w:t xml:space="preserve">а отчетный период поступления </w:t>
      </w:r>
      <w:r w:rsidRPr="00D418DA">
        <w:t xml:space="preserve">налоговых и неналоговых доходов </w:t>
      </w:r>
      <w:r>
        <w:t>снижены</w:t>
      </w:r>
      <w:r w:rsidR="00D418DA" w:rsidRPr="00D418DA">
        <w:t xml:space="preserve"> к уровню </w:t>
      </w:r>
      <w:r>
        <w:t>2022</w:t>
      </w:r>
      <w:r w:rsidR="00D418DA" w:rsidRPr="00D418DA">
        <w:t xml:space="preserve"> года на 8 566 тыс. руб., при этом налоговые доходы снижены на 8 952 тыс. руб., неналоговые доходы увеличены на 386 тыс. руб. </w:t>
      </w:r>
    </w:p>
    <w:p w14:paraId="4CDA66C7" w14:textId="49CCAA6A" w:rsidR="00D418DA" w:rsidRPr="00D418DA" w:rsidRDefault="00D418DA" w:rsidP="00C520C9">
      <w:pPr>
        <w:spacing w:line="276" w:lineRule="auto"/>
        <w:ind w:firstLine="567"/>
        <w:jc w:val="both"/>
      </w:pPr>
      <w:r w:rsidRPr="00D418DA">
        <w:t>Существенное снижение налоговых доходов сложилось в связи с изменением налогового законодательства, введением с 01.01.2023 единого налогового счета и изменением порядка зачисления доходов в муниципальные бюджеты, а также снижением поступлений НДФЛ от дивиден</w:t>
      </w:r>
      <w:r w:rsidR="0004036A">
        <w:t>д</w:t>
      </w:r>
      <w:r w:rsidRPr="00D418DA">
        <w:t>ов.</w:t>
      </w:r>
    </w:p>
    <w:p w14:paraId="71A5D182" w14:textId="3BB8C619" w:rsidR="00D418DA" w:rsidRPr="00D418DA" w:rsidRDefault="00D418DA" w:rsidP="00C520C9">
      <w:pPr>
        <w:spacing w:line="276" w:lineRule="auto"/>
        <w:ind w:firstLine="567"/>
        <w:jc w:val="both"/>
      </w:pPr>
      <w:r w:rsidRPr="00D418DA">
        <w:t>Основные поступления (89,0%) обеспечены тремя доходными источниками: налог на доходы физических лиц, налог</w:t>
      </w:r>
      <w:r w:rsidR="0004036A">
        <w:t>и</w:t>
      </w:r>
      <w:r w:rsidRPr="00D418DA">
        <w:t xml:space="preserve"> на товары (работы, услуги), реализуемые на территории РФ и доход</w:t>
      </w:r>
      <w:r w:rsidR="0004036A">
        <w:t>ы</w:t>
      </w:r>
      <w:r w:rsidRPr="00D418DA">
        <w:t xml:space="preserve"> от продажи земельных участков.</w:t>
      </w:r>
    </w:p>
    <w:p w14:paraId="016353AE" w14:textId="7002F227" w:rsidR="00D418DA" w:rsidRPr="00D418DA" w:rsidRDefault="00D418DA" w:rsidP="00C520C9">
      <w:pPr>
        <w:spacing w:line="276" w:lineRule="auto"/>
        <w:ind w:firstLine="567"/>
        <w:jc w:val="both"/>
      </w:pPr>
      <w:r w:rsidRPr="00D418DA">
        <w:t>Наибольший удельный вес</w:t>
      </w:r>
      <w:r w:rsidR="00BE60AE">
        <w:t xml:space="preserve"> </w:t>
      </w:r>
      <w:r w:rsidRPr="00D418DA">
        <w:t xml:space="preserve">занимает </w:t>
      </w:r>
      <w:r w:rsidR="0004036A">
        <w:t>НДФЛ</w:t>
      </w:r>
      <w:r w:rsidRPr="00D418DA">
        <w:t xml:space="preserve"> – 68,3% (19 009 тыс. руб.). По сравнению с прошлым годом поступления </w:t>
      </w:r>
      <w:r w:rsidR="00BE60AE">
        <w:t>НДФЛ уменьшены</w:t>
      </w:r>
      <w:r w:rsidRPr="00D418DA">
        <w:t xml:space="preserve"> на 8 033 тыс. руб. </w:t>
      </w:r>
    </w:p>
    <w:p w14:paraId="5A8DD99B" w14:textId="6AD0BB25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По группе налогов на совокупный доход поступления снижены к уровню </w:t>
      </w:r>
      <w:r w:rsidR="0004036A">
        <w:t xml:space="preserve">2022 </w:t>
      </w:r>
      <w:r w:rsidRPr="00D418DA">
        <w:t>года на 1 941 тыс. руб., в том числе патент</w:t>
      </w:r>
      <w:r w:rsidR="0004036A">
        <w:t>ы</w:t>
      </w:r>
      <w:r w:rsidRPr="00D418DA">
        <w:t xml:space="preserve"> – на 1810 тыс. руб., един</w:t>
      </w:r>
      <w:r w:rsidR="0004036A">
        <w:t>ый</w:t>
      </w:r>
      <w:r w:rsidRPr="00D418DA">
        <w:t xml:space="preserve"> сельскохозяйственн</w:t>
      </w:r>
      <w:r w:rsidR="0004036A">
        <w:t>ый</w:t>
      </w:r>
      <w:r w:rsidRPr="00D418DA">
        <w:t xml:space="preserve"> налог – на 114 тыс. руб.</w:t>
      </w:r>
    </w:p>
    <w:p w14:paraId="0EE1ED46" w14:textId="2EA0FBD3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По группе </w:t>
      </w:r>
      <w:bookmarkStart w:id="3" w:name="_Hlk131512171"/>
      <w:r w:rsidRPr="00D418DA">
        <w:t>налогов на товары (работы, услуги), реализуемые на территории РФ</w:t>
      </w:r>
      <w:bookmarkEnd w:id="3"/>
      <w:r w:rsidRPr="00D418DA">
        <w:t xml:space="preserve">, </w:t>
      </w:r>
      <w:r w:rsidR="0004036A">
        <w:t>поступления</w:t>
      </w:r>
      <w:r w:rsidRPr="00D418DA">
        <w:t xml:space="preserve"> акцизов на ГСМ увеличены на 958 тыс. руб. и составили 3 049 тыс. руб</w:t>
      </w:r>
      <w:r w:rsidR="00C822FE">
        <w:t>.</w:t>
      </w:r>
    </w:p>
    <w:p w14:paraId="0C584CD5" w14:textId="4DFDDAF5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Государственная пошлина </w:t>
      </w:r>
      <w:r w:rsidR="00C822FE" w:rsidRPr="00D418DA">
        <w:t>увеличен</w:t>
      </w:r>
      <w:r w:rsidR="00C822FE">
        <w:t>а</w:t>
      </w:r>
      <w:r w:rsidRPr="00D418DA">
        <w:t xml:space="preserve"> </w:t>
      </w:r>
      <w:r w:rsidR="00C822FE" w:rsidRPr="00D418DA">
        <w:t xml:space="preserve">на 65 тыс. руб. </w:t>
      </w:r>
      <w:r w:rsidR="00C822FE">
        <w:t>и составила</w:t>
      </w:r>
      <w:r w:rsidRPr="00D418DA">
        <w:t xml:space="preserve"> 583 тыс. руб</w:t>
      </w:r>
      <w:r w:rsidR="00C822FE">
        <w:t>.</w:t>
      </w:r>
    </w:p>
    <w:p w14:paraId="425C0648" w14:textId="7B9E1ECD" w:rsidR="00C822FE" w:rsidRDefault="00D418DA" w:rsidP="00C520C9">
      <w:pPr>
        <w:spacing w:line="276" w:lineRule="auto"/>
        <w:ind w:firstLine="567"/>
        <w:jc w:val="both"/>
      </w:pPr>
      <w:r w:rsidRPr="00D418DA">
        <w:t xml:space="preserve">Объем неналоговых платежей </w:t>
      </w:r>
      <w:r w:rsidR="00C822FE" w:rsidRPr="00D418DA">
        <w:t>увеличен на 386 тыс. руб</w:t>
      </w:r>
      <w:r w:rsidR="00C822FE">
        <w:t>. и</w:t>
      </w:r>
      <w:r w:rsidR="00C822FE" w:rsidRPr="00D418DA">
        <w:t xml:space="preserve"> </w:t>
      </w:r>
      <w:r w:rsidRPr="00D418DA">
        <w:t>составил 5 318 тыс. руб</w:t>
      </w:r>
      <w:r w:rsidR="00C822FE">
        <w:t>.</w:t>
      </w:r>
    </w:p>
    <w:p w14:paraId="2E88FDC4" w14:textId="1AC20B7D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Доходы от использования имущества, находящегося в муниципальной собственности поступили на уровне прошлого года и составили 1 555 тыс. руб. </w:t>
      </w:r>
    </w:p>
    <w:p w14:paraId="587C250A" w14:textId="265910F0" w:rsidR="00D418DA" w:rsidRPr="00D418DA" w:rsidRDefault="00D418DA" w:rsidP="00C520C9">
      <w:pPr>
        <w:spacing w:line="276" w:lineRule="auto"/>
        <w:ind w:firstLine="567"/>
        <w:jc w:val="both"/>
      </w:pPr>
      <w:r w:rsidRPr="00D418DA">
        <w:lastRenderedPageBreak/>
        <w:t>Доходы от продажи материальных и нематериальных активов</w:t>
      </w:r>
      <w:r w:rsidR="00C822FE">
        <w:t xml:space="preserve"> снижены </w:t>
      </w:r>
      <w:r w:rsidR="00C822FE" w:rsidRPr="00D418DA">
        <w:t>на 652 тыс. руб</w:t>
      </w:r>
      <w:r w:rsidR="00C822FE">
        <w:t>. и</w:t>
      </w:r>
      <w:r w:rsidRPr="00D418DA">
        <w:t xml:space="preserve"> </w:t>
      </w:r>
      <w:r w:rsidR="00C822FE">
        <w:t>составили</w:t>
      </w:r>
      <w:r w:rsidRPr="00D418DA">
        <w:t xml:space="preserve"> 2 720 тыс. руб. </w:t>
      </w:r>
    </w:p>
    <w:p w14:paraId="2DA5CC7F" w14:textId="41B2B3B0" w:rsidR="00D418DA" w:rsidRPr="00D418DA" w:rsidRDefault="00D418DA" w:rsidP="00C520C9">
      <w:pPr>
        <w:spacing w:line="276" w:lineRule="auto"/>
        <w:ind w:firstLine="567"/>
        <w:jc w:val="both"/>
      </w:pPr>
      <w:r w:rsidRPr="00D418DA">
        <w:t>Доходы от поступления штрафных санкций</w:t>
      </w:r>
      <w:r w:rsidR="00C822FE">
        <w:t xml:space="preserve"> увеличены на </w:t>
      </w:r>
      <w:r w:rsidR="00C822FE" w:rsidRPr="00D418DA">
        <w:t xml:space="preserve">597 тыс. руб. </w:t>
      </w:r>
      <w:r w:rsidR="00C822FE">
        <w:t>и</w:t>
      </w:r>
      <w:r w:rsidRPr="00D418DA">
        <w:t xml:space="preserve"> составили 876 тыс. руб. </w:t>
      </w:r>
    </w:p>
    <w:p w14:paraId="2FBC0172" w14:textId="2D4B6CA8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Объем безвозмездных поступлений из других уровней бюджетной системы </w:t>
      </w:r>
      <w:r w:rsidR="00C822FE" w:rsidRPr="00D418DA">
        <w:t>увеличен на 12 943 тыс. руб.</w:t>
      </w:r>
      <w:r w:rsidR="00C822FE">
        <w:t xml:space="preserve"> и </w:t>
      </w:r>
      <w:r w:rsidRPr="00D418DA">
        <w:t>составил 83 475 тыс. руб</w:t>
      </w:r>
      <w:r w:rsidR="00C520C9">
        <w:t>.</w:t>
      </w:r>
    </w:p>
    <w:p w14:paraId="117D6059" w14:textId="3EF67CF6" w:rsidR="00D17698" w:rsidRPr="00D418DA" w:rsidRDefault="00D418DA" w:rsidP="00D17698">
      <w:pPr>
        <w:spacing w:line="276" w:lineRule="auto"/>
        <w:ind w:firstLine="567"/>
        <w:jc w:val="both"/>
      </w:pPr>
      <w:r w:rsidRPr="00C520C9">
        <w:t>Расходы</w:t>
      </w:r>
      <w:r w:rsidRPr="00D418DA">
        <w:t xml:space="preserve"> бюджета муниципального района за отчетный период увелич</w:t>
      </w:r>
      <w:r w:rsidR="00C822FE">
        <w:t>ены</w:t>
      </w:r>
      <w:r w:rsidRPr="00D418DA">
        <w:t xml:space="preserve"> к уровню прошлого года на 11 987 тыс. руб. и составили 103 347 тыс. руб.</w:t>
      </w:r>
      <w:r w:rsidR="00D17698">
        <w:t>, или</w:t>
      </w:r>
      <w:r w:rsidR="00D17698" w:rsidRPr="000C45FD">
        <w:t xml:space="preserve"> </w:t>
      </w:r>
      <w:r w:rsidR="00D17698" w:rsidRPr="00D418DA">
        <w:t>1</w:t>
      </w:r>
      <w:r w:rsidR="00D17698">
        <w:t>6</w:t>
      </w:r>
      <w:r w:rsidR="00D17698" w:rsidRPr="00D418DA">
        <w:t>,0%</w:t>
      </w:r>
      <w:r w:rsidR="00D17698">
        <w:t xml:space="preserve"> годового плана</w:t>
      </w:r>
      <w:r w:rsidR="00D17698" w:rsidRPr="000C45FD">
        <w:t xml:space="preserve">. </w:t>
      </w:r>
      <w:r w:rsidR="00D17698" w:rsidRPr="00D418DA">
        <w:t xml:space="preserve"> </w:t>
      </w:r>
    </w:p>
    <w:p w14:paraId="7687AA0E" w14:textId="7FB8A611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Приоритетным направлением в расходовании бюджетных средств </w:t>
      </w:r>
      <w:r w:rsidR="00C822FE">
        <w:t xml:space="preserve">остается </w:t>
      </w:r>
      <w:r w:rsidRPr="00D418DA">
        <w:t>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88% от общего объема расходов бюджета, на эти цели направлено 91 074 тыс. рублей.</w:t>
      </w:r>
    </w:p>
    <w:p w14:paraId="4D93D1D9" w14:textId="4AA5CE00" w:rsidR="00D418DA" w:rsidRPr="00D418DA" w:rsidRDefault="00C822FE" w:rsidP="00C520C9">
      <w:pPr>
        <w:spacing w:line="276" w:lineRule="auto"/>
        <w:ind w:firstLine="567"/>
        <w:jc w:val="both"/>
      </w:pPr>
      <w:r>
        <w:t>По разделу «О</w:t>
      </w:r>
      <w:r w:rsidRPr="00C520C9">
        <w:t>бщегосударственны</w:t>
      </w:r>
      <w:r>
        <w:t>е</w:t>
      </w:r>
      <w:r w:rsidRPr="00C520C9">
        <w:t xml:space="preserve"> вопрос</w:t>
      </w:r>
      <w:r>
        <w:t>ы»</w:t>
      </w:r>
      <w:r w:rsidRPr="00C520C9">
        <w:t xml:space="preserve"> </w:t>
      </w:r>
      <w:r>
        <w:t>р</w:t>
      </w:r>
      <w:r w:rsidR="00D418DA" w:rsidRPr="00C520C9">
        <w:t xml:space="preserve">асходы </w:t>
      </w:r>
      <w:r>
        <w:t xml:space="preserve">увеличены на </w:t>
      </w:r>
      <w:r w:rsidRPr="00D418DA">
        <w:t xml:space="preserve">714 тыс. руб. </w:t>
      </w:r>
      <w:r>
        <w:t>и составили</w:t>
      </w:r>
      <w:r w:rsidR="00D418DA" w:rsidRPr="00D418DA">
        <w:t xml:space="preserve"> 8 495 тыс. руб., </w:t>
      </w:r>
      <w:r>
        <w:t xml:space="preserve">или </w:t>
      </w:r>
      <w:r w:rsidRPr="00D418DA">
        <w:t>19,8%</w:t>
      </w:r>
      <w:r>
        <w:t xml:space="preserve"> </w:t>
      </w:r>
      <w:r w:rsidRPr="00D418DA">
        <w:t>годово</w:t>
      </w:r>
      <w:r>
        <w:t>го</w:t>
      </w:r>
      <w:r w:rsidRPr="00D418DA">
        <w:t xml:space="preserve"> план</w:t>
      </w:r>
      <w:r>
        <w:t xml:space="preserve">а. </w:t>
      </w:r>
      <w:r w:rsidRPr="00D418DA">
        <w:t xml:space="preserve"> </w:t>
      </w:r>
    </w:p>
    <w:p w14:paraId="3AE647ED" w14:textId="55DC4C4C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На содержание многофункционального центра для оказания государственных и муниципальных услуг направлено 1 037,4 тыс. руб., что на 267 тыс. руб. </w:t>
      </w:r>
      <w:r w:rsidR="00A61850">
        <w:t>больше</w:t>
      </w:r>
      <w:r w:rsidRPr="00D418DA">
        <w:t xml:space="preserve"> </w:t>
      </w:r>
      <w:r w:rsidR="00C520C9">
        <w:t xml:space="preserve">периода </w:t>
      </w:r>
      <w:r w:rsidR="00C520C9" w:rsidRPr="00D418DA">
        <w:t>пр</w:t>
      </w:r>
      <w:r w:rsidR="00C520C9">
        <w:t>ошлого</w:t>
      </w:r>
      <w:r w:rsidR="00C520C9" w:rsidRPr="00D418DA">
        <w:t xml:space="preserve"> года</w:t>
      </w:r>
      <w:r w:rsidRPr="00D418DA">
        <w:t>.</w:t>
      </w:r>
    </w:p>
    <w:p w14:paraId="62174463" w14:textId="04DBFBBD" w:rsidR="00D418DA" w:rsidRPr="00D418DA" w:rsidRDefault="00C822FE" w:rsidP="00C822FE">
      <w:pPr>
        <w:spacing w:line="276" w:lineRule="auto"/>
        <w:ind w:firstLine="567"/>
        <w:jc w:val="both"/>
      </w:pPr>
      <w:r>
        <w:t>По разделу</w:t>
      </w:r>
      <w:r w:rsidRPr="00C520C9">
        <w:t xml:space="preserve"> «Национальная экономика»</w:t>
      </w:r>
      <w:r w:rsidRPr="00D418DA">
        <w:t xml:space="preserve"> </w:t>
      </w:r>
      <w:r>
        <w:t>р</w:t>
      </w:r>
      <w:r w:rsidRPr="00C520C9">
        <w:t>асходы</w:t>
      </w:r>
      <w:r w:rsidRPr="00D418DA">
        <w:t xml:space="preserve"> снижены на 626 тыс. руб.</w:t>
      </w:r>
      <w:r>
        <w:t xml:space="preserve"> и </w:t>
      </w:r>
      <w:r w:rsidRPr="00D418DA">
        <w:t xml:space="preserve">составили 2 053 тыс. руб., </w:t>
      </w:r>
      <w:r>
        <w:t xml:space="preserve">или </w:t>
      </w:r>
      <w:r w:rsidRPr="00D418DA">
        <w:t>10%</w:t>
      </w:r>
      <w:r>
        <w:t xml:space="preserve"> </w:t>
      </w:r>
      <w:r w:rsidRPr="00D418DA">
        <w:t>годово</w:t>
      </w:r>
      <w:r>
        <w:t>го</w:t>
      </w:r>
      <w:r w:rsidRPr="00D418DA">
        <w:t xml:space="preserve"> план</w:t>
      </w:r>
      <w:r>
        <w:t>а</w:t>
      </w:r>
      <w:r w:rsidRPr="00D418DA">
        <w:t xml:space="preserve">. </w:t>
      </w:r>
    </w:p>
    <w:p w14:paraId="31A76BD3" w14:textId="00E13C16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На обеспечение пассажирских перевозок жителей района направлено 1 297,9 тыс. руб., что на 393 тыс. руб. </w:t>
      </w:r>
      <w:r w:rsidR="00A61850">
        <w:t xml:space="preserve">больше </w:t>
      </w:r>
      <w:r w:rsidR="00C520C9">
        <w:t xml:space="preserve">периода </w:t>
      </w:r>
      <w:r w:rsidR="00C520C9" w:rsidRPr="00D418DA">
        <w:t>пр</w:t>
      </w:r>
      <w:r w:rsidR="00C520C9">
        <w:t>ошлого</w:t>
      </w:r>
      <w:r w:rsidR="00C520C9" w:rsidRPr="00D418DA">
        <w:t xml:space="preserve"> года</w:t>
      </w:r>
      <w:r w:rsidRPr="00D418DA">
        <w:t>.</w:t>
      </w:r>
    </w:p>
    <w:p w14:paraId="7EE039AB" w14:textId="5BCAC519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На содержание дорог в сельских населенных пунктах направлено 754,6 тыс. руб., что на 1 018,9 тыс. руб. меньше </w:t>
      </w:r>
      <w:r w:rsidR="00C520C9">
        <w:t>аналогичного периода 2022</w:t>
      </w:r>
      <w:r w:rsidR="00C520C9" w:rsidRPr="00D418DA">
        <w:t xml:space="preserve"> года</w:t>
      </w:r>
      <w:r w:rsidRPr="00D418DA">
        <w:t>.</w:t>
      </w:r>
    </w:p>
    <w:p w14:paraId="7B1141EA" w14:textId="018B6596" w:rsidR="00D418DA" w:rsidRPr="00D418DA" w:rsidRDefault="00A61850" w:rsidP="00C520C9">
      <w:pPr>
        <w:spacing w:line="276" w:lineRule="auto"/>
        <w:ind w:firstLine="567"/>
        <w:jc w:val="both"/>
      </w:pPr>
      <w:r>
        <w:t>По разделу</w:t>
      </w:r>
      <w:r w:rsidRPr="00C520C9">
        <w:t xml:space="preserve"> </w:t>
      </w:r>
      <w:r w:rsidR="00D418DA" w:rsidRPr="00C520C9">
        <w:t>«Жилищно-коммунальное хозяйство»</w:t>
      </w:r>
      <w:r w:rsidR="00D418DA" w:rsidRPr="00D418DA">
        <w:t xml:space="preserve"> </w:t>
      </w:r>
      <w:r>
        <w:t>р</w:t>
      </w:r>
      <w:r w:rsidRPr="00C520C9">
        <w:t>асходы</w:t>
      </w:r>
      <w:r w:rsidRPr="00D418DA">
        <w:t xml:space="preserve"> </w:t>
      </w:r>
      <w:r w:rsidR="00D418DA" w:rsidRPr="00D418DA">
        <w:t>исполнены в размере 32 тыс. рублей.</w:t>
      </w:r>
    </w:p>
    <w:p w14:paraId="601AA451" w14:textId="03A9B614" w:rsidR="00D418DA" w:rsidRPr="00D418DA" w:rsidRDefault="00A61850" w:rsidP="00C520C9">
      <w:pPr>
        <w:spacing w:line="276" w:lineRule="auto"/>
        <w:ind w:firstLine="567"/>
        <w:jc w:val="both"/>
      </w:pPr>
      <w:r>
        <w:t>По разделу</w:t>
      </w:r>
      <w:r w:rsidRPr="00C520C9">
        <w:t xml:space="preserve"> </w:t>
      </w:r>
      <w:r w:rsidR="00C520C9" w:rsidRPr="00C520C9">
        <w:t>«О</w:t>
      </w:r>
      <w:r w:rsidR="00D418DA" w:rsidRPr="00C520C9">
        <w:t>бразование</w:t>
      </w:r>
      <w:r w:rsidR="00C520C9" w:rsidRPr="00C520C9">
        <w:t>»</w:t>
      </w:r>
      <w:r w:rsidR="00D418DA" w:rsidRPr="00D418DA">
        <w:t xml:space="preserve"> </w:t>
      </w:r>
      <w:r>
        <w:t>р</w:t>
      </w:r>
      <w:r w:rsidRPr="00C520C9">
        <w:t>асходы</w:t>
      </w:r>
      <w:r w:rsidRPr="00D418DA">
        <w:t xml:space="preserve"> </w:t>
      </w:r>
      <w:r w:rsidR="00D418DA" w:rsidRPr="00D418DA">
        <w:t xml:space="preserve">исполнены в объеме 74 817 тыс. руб., что на 5 238 тыс. руб. или на 7,5% выше </w:t>
      </w:r>
      <w:r w:rsidR="00C520C9">
        <w:t xml:space="preserve">периода </w:t>
      </w:r>
      <w:r w:rsidR="00C520C9" w:rsidRPr="00D418DA">
        <w:t>пр</w:t>
      </w:r>
      <w:r w:rsidR="00C520C9">
        <w:t>ошлого</w:t>
      </w:r>
      <w:r w:rsidR="00C520C9" w:rsidRPr="00D418DA">
        <w:t xml:space="preserve"> года</w:t>
      </w:r>
      <w:r w:rsidR="00D418DA" w:rsidRPr="00D418DA">
        <w:t xml:space="preserve">. Годовой план исполнен на 16,5%. В структуре расходов бюджета в целом затраты на образование составляют наибольшую долю – 72,4%. </w:t>
      </w:r>
    </w:p>
    <w:p w14:paraId="791EB06F" w14:textId="48A0EDCA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На обеспечение дошкольного образования направлено 15 179,9 тыс. руб., что на 1 654,4 тыс. руб. </w:t>
      </w:r>
      <w:r w:rsidR="00A61850">
        <w:t xml:space="preserve">больше периода </w:t>
      </w:r>
      <w:r w:rsidR="00C520C9">
        <w:t>2022</w:t>
      </w:r>
      <w:r w:rsidR="00C520C9" w:rsidRPr="00D418DA">
        <w:t xml:space="preserve"> года</w:t>
      </w:r>
      <w:r w:rsidRPr="00D418DA">
        <w:t xml:space="preserve">. </w:t>
      </w:r>
    </w:p>
    <w:p w14:paraId="29637994" w14:textId="411E4406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На обеспечение общего образования направлено 49 640,6 тыс. руб., что на 3 972,9 тыс. руб. </w:t>
      </w:r>
      <w:r w:rsidR="00A61850">
        <w:t xml:space="preserve">больше периода </w:t>
      </w:r>
      <w:r w:rsidR="00C520C9" w:rsidRPr="00D418DA">
        <w:t>пр</w:t>
      </w:r>
      <w:r w:rsidR="00C520C9">
        <w:t>ошлого</w:t>
      </w:r>
      <w:r w:rsidR="00C520C9" w:rsidRPr="00D418DA">
        <w:t xml:space="preserve"> года</w:t>
      </w:r>
      <w:r w:rsidRPr="00D418DA">
        <w:t xml:space="preserve">. </w:t>
      </w:r>
    </w:p>
    <w:p w14:paraId="683BE1EE" w14:textId="6DEE6F03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На содержание организаций дополнительного образования направлено 4 126,5 тыс. руб., что на 448,4 тыс. руб. </w:t>
      </w:r>
      <w:r w:rsidR="00A61850">
        <w:t>больше периода 2022</w:t>
      </w:r>
      <w:r w:rsidR="00A61850" w:rsidRPr="00D418DA">
        <w:t xml:space="preserve"> года</w:t>
      </w:r>
      <w:r w:rsidRPr="00D418DA">
        <w:t xml:space="preserve">. </w:t>
      </w:r>
    </w:p>
    <w:p w14:paraId="5C574605" w14:textId="041BEE89" w:rsidR="00D418DA" w:rsidRPr="00D418DA" w:rsidRDefault="00A61850" w:rsidP="00C520C9">
      <w:pPr>
        <w:spacing w:line="276" w:lineRule="auto"/>
        <w:ind w:firstLine="567"/>
        <w:jc w:val="both"/>
      </w:pPr>
      <w:r>
        <w:t>По разделу</w:t>
      </w:r>
      <w:r w:rsidRPr="00C520C9">
        <w:t xml:space="preserve"> </w:t>
      </w:r>
      <w:r w:rsidR="00D418DA" w:rsidRPr="00C520C9">
        <w:t>«Культура»</w:t>
      </w:r>
      <w:r w:rsidR="00D418DA" w:rsidRPr="00D418DA">
        <w:t xml:space="preserve"> </w:t>
      </w:r>
      <w:r>
        <w:t>р</w:t>
      </w:r>
      <w:r w:rsidRPr="00C520C9">
        <w:t>асходы</w:t>
      </w:r>
      <w:r w:rsidRPr="00D418DA">
        <w:t xml:space="preserve"> </w:t>
      </w:r>
      <w:r w:rsidR="00D418DA" w:rsidRPr="00D418DA">
        <w:t xml:space="preserve">составили 7 639 тыс. руб., что на 740 тыс. руб. </w:t>
      </w:r>
      <w:r>
        <w:t>больше уровня</w:t>
      </w:r>
      <w:r w:rsidR="00C520C9">
        <w:t xml:space="preserve"> </w:t>
      </w:r>
      <w:r w:rsidR="00C520C9" w:rsidRPr="00D418DA">
        <w:t>пр</w:t>
      </w:r>
      <w:r w:rsidR="00C520C9">
        <w:t>ошлого</w:t>
      </w:r>
      <w:r w:rsidR="00C520C9" w:rsidRPr="00D418DA">
        <w:t xml:space="preserve"> года</w:t>
      </w:r>
      <w:r w:rsidR="00D418DA" w:rsidRPr="00D418DA">
        <w:t>. Годовой план исполнен на 22,4%.</w:t>
      </w:r>
      <w:r w:rsidR="00C520C9" w:rsidRPr="00C520C9">
        <w:t xml:space="preserve"> </w:t>
      </w:r>
      <w:r w:rsidR="00C520C9">
        <w:t>Удельный вес в</w:t>
      </w:r>
      <w:r w:rsidR="00C520C9" w:rsidRPr="00D418DA">
        <w:t xml:space="preserve"> структуре расходов бюджета – 7</w:t>
      </w:r>
      <w:r w:rsidR="00C520C9">
        <w:t>,4</w:t>
      </w:r>
      <w:r w:rsidR="00C520C9" w:rsidRPr="00D418DA">
        <w:t xml:space="preserve">%.  </w:t>
      </w:r>
    </w:p>
    <w:p w14:paraId="1B261080" w14:textId="77777777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 На обеспечение деятельности </w:t>
      </w:r>
      <w:proofErr w:type="spellStart"/>
      <w:r w:rsidRPr="00D418DA">
        <w:t>межпоселенческой</w:t>
      </w:r>
      <w:proofErr w:type="spellEnd"/>
      <w:r w:rsidRPr="00D418DA">
        <w:t xml:space="preserve"> библиотеки направлено 3 807,2 тыс. руб., районного Дома культуры – 3 766,8 тыс. руб. </w:t>
      </w:r>
    </w:p>
    <w:p w14:paraId="1E53BA72" w14:textId="4CE71B13" w:rsidR="00D418DA" w:rsidRPr="00D418DA" w:rsidRDefault="00C520C9" w:rsidP="00C520C9">
      <w:pPr>
        <w:spacing w:line="276" w:lineRule="auto"/>
        <w:ind w:firstLine="567"/>
        <w:jc w:val="both"/>
      </w:pPr>
      <w:r w:rsidRPr="00C520C9">
        <w:t xml:space="preserve">Расходы по отрасли </w:t>
      </w:r>
      <w:r w:rsidR="00D418DA" w:rsidRPr="00C520C9">
        <w:t>«Социальная политика»</w:t>
      </w:r>
      <w:r w:rsidR="00D418DA" w:rsidRPr="00D418DA">
        <w:rPr>
          <w:i/>
        </w:rPr>
        <w:t xml:space="preserve"> </w:t>
      </w:r>
      <w:r w:rsidRPr="00D418DA">
        <w:t xml:space="preserve">составили </w:t>
      </w:r>
      <w:r w:rsidR="00D418DA" w:rsidRPr="00D418DA">
        <w:t xml:space="preserve">8 597 тыс. руб., </w:t>
      </w:r>
      <w:r w:rsidR="00A61850">
        <w:t xml:space="preserve">или </w:t>
      </w:r>
      <w:r w:rsidR="00A61850" w:rsidRPr="00D418DA">
        <w:t>10,5%</w:t>
      </w:r>
      <w:r w:rsidR="00A61850">
        <w:t xml:space="preserve"> </w:t>
      </w:r>
      <w:r w:rsidR="00A61850" w:rsidRPr="00D418DA">
        <w:t>годово</w:t>
      </w:r>
      <w:r w:rsidR="00A61850">
        <w:t>го</w:t>
      </w:r>
      <w:r w:rsidR="00A61850" w:rsidRPr="00D418DA">
        <w:t xml:space="preserve"> план</w:t>
      </w:r>
      <w:r w:rsidR="00A61850">
        <w:t>а. К уровню прошлого года расходы увеличены</w:t>
      </w:r>
      <w:r w:rsidR="00D418DA" w:rsidRPr="00D418DA">
        <w:t xml:space="preserve"> на 5 307 тыс. руб. </w:t>
      </w:r>
      <w:r w:rsidR="00A61850">
        <w:t xml:space="preserve">или в 2,4 раза. </w:t>
      </w:r>
      <w:r>
        <w:t>Удельный вес в</w:t>
      </w:r>
      <w:r w:rsidRPr="00D418DA">
        <w:t xml:space="preserve"> структуре расходов бюджета –</w:t>
      </w:r>
      <w:r>
        <w:t xml:space="preserve"> </w:t>
      </w:r>
      <w:r w:rsidR="00D418DA" w:rsidRPr="00D418DA">
        <w:t xml:space="preserve">8,3%. </w:t>
      </w:r>
    </w:p>
    <w:p w14:paraId="0D2466E2" w14:textId="6CFB4B89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На мероприятия по охране семьи и детства направлено 7 741,3 тыс. руб., что на 5 193,4 тыс. руб. или в 3 раза выше </w:t>
      </w:r>
      <w:r w:rsidR="002D078D">
        <w:t xml:space="preserve">аналогичного </w:t>
      </w:r>
      <w:r w:rsidR="00C520C9">
        <w:t xml:space="preserve">периода </w:t>
      </w:r>
      <w:r w:rsidR="002D078D">
        <w:t>2022</w:t>
      </w:r>
      <w:r w:rsidR="00C520C9" w:rsidRPr="00D418DA">
        <w:t xml:space="preserve"> года</w:t>
      </w:r>
      <w:r w:rsidRPr="00D418DA">
        <w:t>.</w:t>
      </w:r>
    </w:p>
    <w:p w14:paraId="488B99CF" w14:textId="1257EA5F" w:rsidR="00D418DA" w:rsidRPr="00D418DA" w:rsidRDefault="00D418DA" w:rsidP="00C520C9">
      <w:pPr>
        <w:spacing w:line="276" w:lineRule="auto"/>
        <w:ind w:firstLine="567"/>
        <w:jc w:val="both"/>
      </w:pPr>
      <w:r w:rsidRPr="00D418DA">
        <w:t xml:space="preserve">Расходы на выплату пенсии муниципальным служащим составили 845,5 тыс. руб., что на 103,8 тыс. руб. или на 14% выше </w:t>
      </w:r>
      <w:r w:rsidR="004C2004">
        <w:t>уровня</w:t>
      </w:r>
      <w:r w:rsidR="00C520C9">
        <w:t xml:space="preserve"> </w:t>
      </w:r>
      <w:r w:rsidR="00C520C9" w:rsidRPr="00D418DA">
        <w:t>пр</w:t>
      </w:r>
      <w:r w:rsidR="00C520C9">
        <w:t>ошлого</w:t>
      </w:r>
      <w:r w:rsidR="00C520C9" w:rsidRPr="00D418DA">
        <w:t xml:space="preserve"> года</w:t>
      </w:r>
      <w:r w:rsidRPr="00D418DA">
        <w:t xml:space="preserve">.  </w:t>
      </w:r>
    </w:p>
    <w:p w14:paraId="2E986C66" w14:textId="285B716D" w:rsidR="00D418DA" w:rsidRPr="00D418DA" w:rsidRDefault="00A61850" w:rsidP="00C520C9">
      <w:pPr>
        <w:spacing w:line="276" w:lineRule="auto"/>
        <w:ind w:firstLine="567"/>
        <w:jc w:val="both"/>
      </w:pPr>
      <w:r>
        <w:lastRenderedPageBreak/>
        <w:t>По разделу</w:t>
      </w:r>
      <w:r w:rsidRPr="00C520C9">
        <w:t xml:space="preserve"> </w:t>
      </w:r>
      <w:r>
        <w:t>«Ф</w:t>
      </w:r>
      <w:r w:rsidR="00D418DA" w:rsidRPr="00C520C9">
        <w:t>изическ</w:t>
      </w:r>
      <w:r>
        <w:t>ая</w:t>
      </w:r>
      <w:r w:rsidR="00D418DA" w:rsidRPr="00C520C9">
        <w:t xml:space="preserve"> культур</w:t>
      </w:r>
      <w:r>
        <w:t>а</w:t>
      </w:r>
      <w:r w:rsidR="00D418DA" w:rsidRPr="00C520C9">
        <w:t xml:space="preserve"> и спорт</w:t>
      </w:r>
      <w:r>
        <w:t>» расходы составили</w:t>
      </w:r>
      <w:r w:rsidR="00D418DA" w:rsidRPr="00D418DA">
        <w:t xml:space="preserve"> 21,2 тыс. рублей, или 7,1% годового плана. </w:t>
      </w:r>
    </w:p>
    <w:p w14:paraId="243DCB43" w14:textId="6954E8D2" w:rsidR="00A561E2" w:rsidRDefault="00A61850" w:rsidP="00C520C9">
      <w:pPr>
        <w:spacing w:line="276" w:lineRule="auto"/>
        <w:ind w:firstLine="567"/>
        <w:jc w:val="both"/>
      </w:pPr>
      <w:r>
        <w:t>По разделу</w:t>
      </w:r>
      <w:r w:rsidRPr="00C520C9">
        <w:t xml:space="preserve"> </w:t>
      </w:r>
      <w:r>
        <w:t>«М</w:t>
      </w:r>
      <w:r w:rsidR="00D418DA" w:rsidRPr="00C520C9">
        <w:t>ежбюджетны</w:t>
      </w:r>
      <w:r>
        <w:t>е</w:t>
      </w:r>
      <w:r w:rsidR="00D418DA" w:rsidRPr="00C520C9">
        <w:t xml:space="preserve"> трансферт</w:t>
      </w:r>
      <w:r>
        <w:t xml:space="preserve">ы </w:t>
      </w:r>
      <w:r w:rsidRPr="00A61850">
        <w:t xml:space="preserve">общего характера </w:t>
      </w:r>
      <w:r w:rsidR="00D418DA" w:rsidRPr="00C520C9">
        <w:t xml:space="preserve">бюджетам </w:t>
      </w:r>
      <w:r>
        <w:t xml:space="preserve">бюджетной системы Российской Федерации» </w:t>
      </w:r>
      <w:r w:rsidR="00A561E2">
        <w:t xml:space="preserve">бюджетам </w:t>
      </w:r>
      <w:r w:rsidR="00D418DA" w:rsidRPr="00C520C9">
        <w:t>поселений</w:t>
      </w:r>
      <w:r w:rsidR="00D418DA" w:rsidRPr="00D418DA">
        <w:t xml:space="preserve"> </w:t>
      </w:r>
      <w:r w:rsidR="00BE60AE">
        <w:t>перечислено</w:t>
      </w:r>
      <w:r w:rsidR="00D418DA" w:rsidRPr="00D418DA">
        <w:t xml:space="preserve"> 694,7 тыс. руб., </w:t>
      </w:r>
      <w:r w:rsidR="00A561E2">
        <w:t>или 23,2</w:t>
      </w:r>
      <w:r w:rsidR="00A561E2" w:rsidRPr="00D418DA">
        <w:t>% годового плана</w:t>
      </w:r>
      <w:r w:rsidR="00A561E2">
        <w:t xml:space="preserve">. </w:t>
      </w:r>
      <w:r w:rsidR="00A561E2" w:rsidRPr="00D418DA">
        <w:t xml:space="preserve"> </w:t>
      </w:r>
      <w:r w:rsidR="00A561E2">
        <w:t>М</w:t>
      </w:r>
      <w:r w:rsidR="00A561E2" w:rsidRPr="00C520C9">
        <w:t>ежбюджетны</w:t>
      </w:r>
      <w:r w:rsidR="00A561E2">
        <w:t>е</w:t>
      </w:r>
      <w:r w:rsidR="00A561E2" w:rsidRPr="00C520C9">
        <w:t xml:space="preserve"> трансферт</w:t>
      </w:r>
      <w:r w:rsidR="00A561E2">
        <w:t xml:space="preserve">ы бюджетам </w:t>
      </w:r>
      <w:r w:rsidR="00A561E2" w:rsidRPr="00C520C9">
        <w:t>поселений</w:t>
      </w:r>
      <w:r w:rsidR="00A561E2" w:rsidRPr="00D418DA">
        <w:t xml:space="preserve"> </w:t>
      </w:r>
      <w:r w:rsidR="00A561E2">
        <w:t xml:space="preserve">увеличены к уровню </w:t>
      </w:r>
      <w:r w:rsidR="00A561E2" w:rsidRPr="00D418DA">
        <w:t>пр</w:t>
      </w:r>
      <w:r w:rsidR="00A561E2">
        <w:t>ошлого</w:t>
      </w:r>
      <w:r w:rsidR="00A561E2" w:rsidRPr="00D418DA">
        <w:t xml:space="preserve"> года </w:t>
      </w:r>
      <w:r w:rsidR="00D418DA" w:rsidRPr="00D418DA">
        <w:t>на 375,2 тыс. руб. или</w:t>
      </w:r>
      <w:r w:rsidR="00A561E2">
        <w:t xml:space="preserve"> более, чем</w:t>
      </w:r>
      <w:r w:rsidR="00D418DA" w:rsidRPr="00D418DA">
        <w:t xml:space="preserve"> в 2 раза</w:t>
      </w:r>
      <w:r w:rsidR="00A561E2">
        <w:t>.</w:t>
      </w:r>
    </w:p>
    <w:p w14:paraId="30E8CCA7" w14:textId="7974A4FD" w:rsidR="00A561E2" w:rsidRDefault="00A561E2" w:rsidP="00A561E2">
      <w:pPr>
        <w:spacing w:line="276" w:lineRule="auto"/>
        <w:ind w:firstLine="567"/>
        <w:jc w:val="both"/>
      </w:pPr>
      <w:r>
        <w:t>В отчетном периоде исполнение бюджета осуществлялось в рамках 5-ти муниципальных программ:</w:t>
      </w:r>
    </w:p>
    <w:p w14:paraId="6DFFF816" w14:textId="65C31E48" w:rsidR="00A561E2" w:rsidRDefault="00A561E2" w:rsidP="00A561E2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«Реализация полномочий администрации Навлинского района» – 25 140 тыс. руб. </w:t>
      </w:r>
    </w:p>
    <w:p w14:paraId="3973D9D8" w14:textId="096D946A" w:rsidR="00A561E2" w:rsidRDefault="00A561E2" w:rsidP="00A561E2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>«Управление муниципальной собственностью Навлинского района» – 557,4 тыс. руб.</w:t>
      </w:r>
    </w:p>
    <w:p w14:paraId="38292217" w14:textId="4BE35B55" w:rsidR="00A561E2" w:rsidRDefault="00A561E2" w:rsidP="00A561E2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>«Развитие образования Навлинского района» – 74 952,7 тыс. руб</w:t>
      </w:r>
      <w:r>
        <w:t>.</w:t>
      </w:r>
    </w:p>
    <w:p w14:paraId="4FEE1CD6" w14:textId="14BCB1C5" w:rsidR="00A561E2" w:rsidRDefault="00A561E2" w:rsidP="00A561E2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>«Управление муниципальными финансами Навлинского района» – 2 202,2 тыс. руб</w:t>
      </w:r>
      <w:r>
        <w:t>.</w:t>
      </w:r>
    </w:p>
    <w:p w14:paraId="18FE9DE3" w14:textId="77777777" w:rsidR="00A561E2" w:rsidRPr="00D418DA" w:rsidRDefault="00A561E2" w:rsidP="00A561E2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>«Энергосбережение и повышение энергетической эффективности Навлинского района» – 76,4 тыс. руб</w:t>
      </w:r>
      <w:r>
        <w:t>.</w:t>
      </w:r>
    </w:p>
    <w:p w14:paraId="7AFBC056" w14:textId="3FAA7182" w:rsidR="00A561E2" w:rsidRDefault="00A561E2" w:rsidP="00A561E2">
      <w:pPr>
        <w:pStyle w:val="a6"/>
        <w:spacing w:before="240" w:line="276" w:lineRule="auto"/>
        <w:ind w:left="0" w:firstLine="567"/>
        <w:jc w:val="both"/>
      </w:pPr>
      <w:r>
        <w:t xml:space="preserve">Финансирование программных мероприятий в целом составило </w:t>
      </w:r>
      <w:r w:rsidRPr="00D418DA">
        <w:t>102 928,8 тыс. руб</w:t>
      </w:r>
      <w:r>
        <w:t xml:space="preserve">., что </w:t>
      </w:r>
      <w:r w:rsidRPr="006B180A">
        <w:t xml:space="preserve">на </w:t>
      </w:r>
      <w:r w:rsidRPr="001300DB">
        <w:t>11</w:t>
      </w:r>
      <w:r>
        <w:t> </w:t>
      </w:r>
      <w:r w:rsidRPr="001300DB">
        <w:t>939</w:t>
      </w:r>
      <w:r>
        <w:t>,3</w:t>
      </w:r>
      <w:r w:rsidRPr="001300DB">
        <w:t xml:space="preserve"> </w:t>
      </w:r>
      <w:r w:rsidRPr="006B180A">
        <w:t>тыс. руб.</w:t>
      </w:r>
      <w:r>
        <w:t xml:space="preserve"> или </w:t>
      </w:r>
      <w:r w:rsidRPr="006B180A">
        <w:t xml:space="preserve">на </w:t>
      </w:r>
      <w:r>
        <w:t>13,1</w:t>
      </w:r>
      <w:r w:rsidRPr="006B180A">
        <w:t>%</w:t>
      </w:r>
      <w:r>
        <w:t xml:space="preserve"> выше уровня прошлого года.</w:t>
      </w:r>
    </w:p>
    <w:p w14:paraId="798CA81E" w14:textId="6999563A" w:rsidR="00A561E2" w:rsidRDefault="00A561E2" w:rsidP="00A561E2">
      <w:pPr>
        <w:pStyle w:val="a6"/>
        <w:spacing w:before="240" w:line="276" w:lineRule="auto"/>
        <w:ind w:left="0" w:firstLine="567"/>
        <w:jc w:val="both"/>
      </w:pPr>
      <w:r>
        <w:t>Непрограммные расходы увеличены на 48,2</w:t>
      </w:r>
      <w:r w:rsidRPr="001300DB">
        <w:t xml:space="preserve"> </w:t>
      </w:r>
      <w:r w:rsidRPr="006B180A">
        <w:t>тыс. руб.</w:t>
      </w:r>
      <w:r>
        <w:t xml:space="preserve"> и составили 482,6 </w:t>
      </w:r>
      <w:r w:rsidRPr="00D418DA">
        <w:t>тыс. руб</w:t>
      </w:r>
      <w:r>
        <w:t>.</w:t>
      </w:r>
    </w:p>
    <w:p w14:paraId="60FBC75A" w14:textId="77777777" w:rsidR="002D078D" w:rsidRPr="006B180A" w:rsidRDefault="002D078D" w:rsidP="002D078D">
      <w:pPr>
        <w:shd w:val="clear" w:color="auto" w:fill="FFFFFF"/>
        <w:spacing w:before="240" w:line="276" w:lineRule="auto"/>
        <w:ind w:firstLine="567"/>
        <w:jc w:val="both"/>
        <w:rPr>
          <w:lang w:eastAsia="en-US"/>
        </w:rPr>
      </w:pPr>
      <w:r w:rsidRPr="006B180A">
        <w:rPr>
          <w:lang w:eastAsia="en-US"/>
        </w:rPr>
        <w:t xml:space="preserve">Кредиторской задолженности по состоянию на </w:t>
      </w:r>
      <w:r w:rsidRPr="006B180A">
        <w:t>01.04.202</w:t>
      </w:r>
      <w:r>
        <w:t>3</w:t>
      </w:r>
      <w:r w:rsidRPr="006B180A">
        <w:t xml:space="preserve"> </w:t>
      </w:r>
      <w:r w:rsidRPr="006B180A">
        <w:rPr>
          <w:lang w:eastAsia="en-US"/>
        </w:rPr>
        <w:t>года не допущено.</w:t>
      </w:r>
    </w:p>
    <w:p w14:paraId="361BB7CA" w14:textId="77777777" w:rsidR="002D078D" w:rsidRPr="006B180A" w:rsidRDefault="002D078D" w:rsidP="002D078D">
      <w:pPr>
        <w:tabs>
          <w:tab w:val="left" w:pos="567"/>
        </w:tabs>
        <w:spacing w:line="276" w:lineRule="auto"/>
        <w:ind w:firstLine="567"/>
        <w:jc w:val="both"/>
      </w:pPr>
      <w:r w:rsidRPr="006B180A">
        <w:t>Муниципальный долг по состоянию на 01.04.202</w:t>
      </w:r>
      <w:r>
        <w:t>3</w:t>
      </w:r>
      <w:r w:rsidRPr="006B180A">
        <w:t xml:space="preserve"> года отсутствует, муниципальные гарантии не предоставлялись. </w:t>
      </w:r>
    </w:p>
    <w:p w14:paraId="62E336E7" w14:textId="4A2695DA" w:rsidR="00280E8C" w:rsidRPr="009C3E49" w:rsidRDefault="00280E8C" w:rsidP="00812D4C">
      <w:pPr>
        <w:spacing w:before="240" w:line="276" w:lineRule="auto"/>
        <w:ind w:firstLine="567"/>
        <w:jc w:val="both"/>
      </w:pPr>
      <w:r w:rsidRPr="009C3E49">
        <w:t xml:space="preserve">Рассмотрев итоги исполнения бюджета </w:t>
      </w:r>
      <w:r w:rsidRPr="00791AAA">
        <w:t>Навлинского муниципального района Брянской области</w:t>
      </w:r>
      <w:r w:rsidRPr="009C3E49">
        <w:t xml:space="preserve"> за 1 квартал 20</w:t>
      </w:r>
      <w:r>
        <w:t>2</w:t>
      </w:r>
      <w:r w:rsidR="00405AB8">
        <w:t>3</w:t>
      </w:r>
      <w:r w:rsidRPr="009C3E49">
        <w:t xml:space="preserve"> года, коллегия при главе администрации района</w:t>
      </w:r>
    </w:p>
    <w:p w14:paraId="30B41E54" w14:textId="77777777" w:rsidR="007F47F2" w:rsidRPr="009C3E49" w:rsidRDefault="007F47F2" w:rsidP="002A0617">
      <w:pPr>
        <w:spacing w:before="240" w:line="276" w:lineRule="auto"/>
        <w:ind w:firstLine="567"/>
        <w:jc w:val="both"/>
      </w:pPr>
      <w:r w:rsidRPr="009C3E49">
        <w:t>РЕШИЛА:</w:t>
      </w:r>
    </w:p>
    <w:p w14:paraId="08FC5529" w14:textId="76C87B11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405AB8" w:rsidRPr="00405AB8">
        <w:t xml:space="preserve">заместителя главы администрации района, начальника финансового управления администрации района Сонных Т.А.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C73361" w:rsidRPr="009C3E49">
        <w:t>1 квартал</w:t>
      </w:r>
      <w:r w:rsidRPr="009C3E49">
        <w:t xml:space="preserve"> 20</w:t>
      </w:r>
      <w:r w:rsidR="00294182">
        <w:t>2</w:t>
      </w:r>
      <w:r w:rsidR="00405AB8">
        <w:t>3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19AED04D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C73361" w:rsidRPr="009C3E49">
        <w:t>мая</w:t>
      </w:r>
      <w:r w:rsidRPr="009C3E49">
        <w:t xml:space="preserve"> направить отчет об исполнении бюджета за </w:t>
      </w:r>
      <w:r w:rsidR="00C73361" w:rsidRPr="009C3E49">
        <w:t>1 квартал</w:t>
      </w:r>
      <w:r w:rsidRPr="009C3E49">
        <w:t xml:space="preserve"> 20</w:t>
      </w:r>
      <w:r w:rsidR="00EC2B60">
        <w:t>2</w:t>
      </w:r>
      <w:r w:rsidR="00405AB8">
        <w:t>3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</w:t>
      </w:r>
      <w:r w:rsidR="00FD6E21">
        <w:t xml:space="preserve"> муниципального</w:t>
      </w:r>
      <w:r w:rsidR="00F55464" w:rsidRPr="009C3E49">
        <w:t xml:space="preserve"> района</w:t>
      </w:r>
      <w:r w:rsidRPr="009C3E49">
        <w:t>.</w:t>
      </w:r>
    </w:p>
    <w:p w14:paraId="0033EB14" w14:textId="682CD1B4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405AB8">
        <w:t>3</w:t>
      </w:r>
      <w:r w:rsidRPr="009C3E49">
        <w:t xml:space="preserve"> год по администрируемым налог</w:t>
      </w:r>
      <w:r w:rsidR="00BE60AE">
        <w:t xml:space="preserve">овым и неналоговым </w:t>
      </w:r>
      <w:r w:rsidRPr="009C3E49">
        <w:t xml:space="preserve">платежам, сокращению задолженности по </w:t>
      </w:r>
      <w:r w:rsidR="00BE60AE">
        <w:t>администрируемым платежам</w:t>
      </w:r>
      <w:r w:rsidRPr="009C3E49">
        <w:t>.</w:t>
      </w:r>
    </w:p>
    <w:p w14:paraId="663C16D5" w14:textId="77777777" w:rsidR="00BE60AE" w:rsidRDefault="007F47F2" w:rsidP="00BE60A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Главным распорядителям средств местного бюджета</w:t>
      </w:r>
      <w:r w:rsidR="00A561E2">
        <w:t xml:space="preserve"> о</w:t>
      </w:r>
      <w:r w:rsidR="00F20E50" w:rsidRPr="009C3E49">
        <w:t xml:space="preserve">беспечить </w:t>
      </w:r>
      <w:r w:rsidR="00A561E2">
        <w:t>эффективность расходования бюджетных средств, достижение результативности программных мероприятий.</w:t>
      </w:r>
    </w:p>
    <w:p w14:paraId="5EF3D175" w14:textId="77777777" w:rsidR="00BE60AE" w:rsidRDefault="00E840B8" w:rsidP="00BE60A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>
        <w:t>Снять с контроля р</w:t>
      </w:r>
      <w:r w:rsidRPr="00660AC7">
        <w:t xml:space="preserve">ешение коллегии при Главе администрации Навлинского района от </w:t>
      </w:r>
      <w:r>
        <w:t>2</w:t>
      </w:r>
      <w:r w:rsidR="00405AB8">
        <w:t>7</w:t>
      </w:r>
      <w:r>
        <w:t>.02.202</w:t>
      </w:r>
      <w:r w:rsidR="00405AB8">
        <w:t>3</w:t>
      </w:r>
      <w:r>
        <w:t xml:space="preserve"> </w:t>
      </w:r>
      <w:r w:rsidRPr="009C3E49">
        <w:t>№</w:t>
      </w:r>
      <w:r>
        <w:t xml:space="preserve">2/1 </w:t>
      </w:r>
      <w:r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>
        <w:t xml:space="preserve">за </w:t>
      </w:r>
      <w:r w:rsidRPr="00660AC7">
        <w:t>20</w:t>
      </w:r>
      <w:r w:rsidR="00791AAA">
        <w:t>2</w:t>
      </w:r>
      <w:r w:rsidR="00405AB8">
        <w:t>2</w:t>
      </w:r>
      <w:r w:rsidRPr="00660AC7">
        <w:t xml:space="preserve"> год».</w:t>
      </w:r>
    </w:p>
    <w:p w14:paraId="64799FBE" w14:textId="4AB75CC1" w:rsidR="007F47F2" w:rsidRPr="009C3E49" w:rsidRDefault="007F47F2" w:rsidP="00BE60A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>начальника финансового управления администрации района</w:t>
      </w:r>
      <w:r w:rsidRPr="009C3E49">
        <w:t xml:space="preserve"> Т.А. Сонных.</w:t>
      </w:r>
    </w:p>
    <w:p w14:paraId="205E116C" w14:textId="77777777" w:rsidR="0004036A" w:rsidRDefault="0004036A" w:rsidP="009C3E49">
      <w:pPr>
        <w:spacing w:line="276" w:lineRule="auto"/>
      </w:pPr>
    </w:p>
    <w:p w14:paraId="583A32EC" w14:textId="77777777" w:rsidR="000B081B" w:rsidRPr="009C3E49" w:rsidRDefault="000B081B" w:rsidP="009C3E49">
      <w:pPr>
        <w:spacing w:line="276" w:lineRule="auto"/>
      </w:pPr>
      <w:r w:rsidRPr="009C3E49">
        <w:t xml:space="preserve">Глава администрации Навлинского </w:t>
      </w:r>
    </w:p>
    <w:p w14:paraId="6BE752FD" w14:textId="6E0C38DF" w:rsidR="00E840B8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>председатель коллегии                                                                                  А.А. Прудник</w:t>
      </w:r>
    </w:p>
    <w:sectPr w:rsidR="00E840B8" w:rsidSect="0004036A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AF86" w14:textId="77777777" w:rsidR="00FF21A0" w:rsidRDefault="00FF21A0" w:rsidP="000B081B">
      <w:r>
        <w:separator/>
      </w:r>
    </w:p>
  </w:endnote>
  <w:endnote w:type="continuationSeparator" w:id="0">
    <w:p w14:paraId="31CD1359" w14:textId="77777777" w:rsidR="00FF21A0" w:rsidRDefault="00FF21A0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64367"/>
      <w:docPartObj>
        <w:docPartGallery w:val="Page Numbers (Bottom of Page)"/>
        <w:docPartUnique/>
      </w:docPartObj>
    </w:sdtPr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36A">
          <w:rPr>
            <w:noProof/>
          </w:rPr>
          <w:t>1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084E" w14:textId="77777777" w:rsidR="00FF21A0" w:rsidRDefault="00FF21A0" w:rsidP="000B081B">
      <w:r>
        <w:separator/>
      </w:r>
    </w:p>
  </w:footnote>
  <w:footnote w:type="continuationSeparator" w:id="0">
    <w:p w14:paraId="4597097B" w14:textId="77777777" w:rsidR="00FF21A0" w:rsidRDefault="00FF21A0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031CB"/>
    <w:multiLevelType w:val="hybridMultilevel"/>
    <w:tmpl w:val="356A922A"/>
    <w:lvl w:ilvl="0" w:tplc="770EEC7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690259335">
    <w:abstractNumId w:val="6"/>
  </w:num>
  <w:num w:numId="2" w16cid:durableId="1034961565">
    <w:abstractNumId w:val="3"/>
  </w:num>
  <w:num w:numId="3" w16cid:durableId="1695885090">
    <w:abstractNumId w:val="7"/>
  </w:num>
  <w:num w:numId="4" w16cid:durableId="1987781173">
    <w:abstractNumId w:val="8"/>
  </w:num>
  <w:num w:numId="5" w16cid:durableId="1503741089">
    <w:abstractNumId w:val="0"/>
  </w:num>
  <w:num w:numId="6" w16cid:durableId="1960329644">
    <w:abstractNumId w:val="5"/>
  </w:num>
  <w:num w:numId="7" w16cid:durableId="328867232">
    <w:abstractNumId w:val="10"/>
  </w:num>
  <w:num w:numId="8" w16cid:durableId="731852565">
    <w:abstractNumId w:val="2"/>
  </w:num>
  <w:num w:numId="9" w16cid:durableId="1184437850">
    <w:abstractNumId w:val="9"/>
  </w:num>
  <w:num w:numId="10" w16cid:durableId="1460950008">
    <w:abstractNumId w:val="4"/>
  </w:num>
  <w:num w:numId="11" w16cid:durableId="203542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5F3C"/>
    <w:rsid w:val="00022BA2"/>
    <w:rsid w:val="00036F42"/>
    <w:rsid w:val="00037F65"/>
    <w:rsid w:val="0004036A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547E"/>
    <w:rsid w:val="001071A2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0938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E8C"/>
    <w:rsid w:val="00294182"/>
    <w:rsid w:val="00294EE9"/>
    <w:rsid w:val="002A0617"/>
    <w:rsid w:val="002A7F74"/>
    <w:rsid w:val="002B15DB"/>
    <w:rsid w:val="002B2745"/>
    <w:rsid w:val="002B37BD"/>
    <w:rsid w:val="002B3B7D"/>
    <w:rsid w:val="002B3D55"/>
    <w:rsid w:val="002C2735"/>
    <w:rsid w:val="002C34D3"/>
    <w:rsid w:val="002C7A82"/>
    <w:rsid w:val="002D01C2"/>
    <w:rsid w:val="002D05AA"/>
    <w:rsid w:val="002D078D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0B15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0ED3"/>
    <w:rsid w:val="003E77D4"/>
    <w:rsid w:val="003F3AD9"/>
    <w:rsid w:val="004028A7"/>
    <w:rsid w:val="004056FA"/>
    <w:rsid w:val="00405AB8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2004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0DE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134F9"/>
    <w:rsid w:val="00A138E1"/>
    <w:rsid w:val="00A45E51"/>
    <w:rsid w:val="00A5286F"/>
    <w:rsid w:val="00A561E2"/>
    <w:rsid w:val="00A5629C"/>
    <w:rsid w:val="00A56444"/>
    <w:rsid w:val="00A60B07"/>
    <w:rsid w:val="00A61850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E60AE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20C9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22FE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16180"/>
    <w:rsid w:val="00D1694D"/>
    <w:rsid w:val="00D17698"/>
    <w:rsid w:val="00D23CA6"/>
    <w:rsid w:val="00D27036"/>
    <w:rsid w:val="00D33834"/>
    <w:rsid w:val="00D33AED"/>
    <w:rsid w:val="00D33F81"/>
    <w:rsid w:val="00D367D6"/>
    <w:rsid w:val="00D418DA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36D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81B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D6E21"/>
    <w:rsid w:val="00FE34A3"/>
    <w:rsid w:val="00FE5E83"/>
    <w:rsid w:val="00FF21A0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4251-BA80-4577-8405-BA64EEDD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2021-04-27T12:38:00Z</cp:lastPrinted>
  <dcterms:created xsi:type="dcterms:W3CDTF">2023-04-24T12:54:00Z</dcterms:created>
  <dcterms:modified xsi:type="dcterms:W3CDTF">2023-04-24T12:54:00Z</dcterms:modified>
</cp:coreProperties>
</file>