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3C" w14:textId="77777777" w:rsidR="007F47F2" w:rsidRPr="009C3E49" w:rsidRDefault="007F47F2" w:rsidP="00A25D3A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A25D3A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A25D3A">
      <w:pPr>
        <w:spacing w:line="276" w:lineRule="auto"/>
        <w:jc w:val="center"/>
      </w:pPr>
    </w:p>
    <w:p w14:paraId="19FDEFAC" w14:textId="77777777" w:rsidR="007F47F2" w:rsidRPr="005A5FFE" w:rsidRDefault="007F47F2" w:rsidP="00A25D3A">
      <w:pPr>
        <w:spacing w:line="276" w:lineRule="auto"/>
        <w:jc w:val="center"/>
        <w:rPr>
          <w:b/>
          <w:bCs/>
          <w:sz w:val="28"/>
          <w:szCs w:val="28"/>
        </w:rPr>
      </w:pPr>
      <w:r w:rsidRPr="005A5FFE">
        <w:rPr>
          <w:b/>
          <w:bCs/>
          <w:sz w:val="28"/>
          <w:szCs w:val="28"/>
        </w:rPr>
        <w:t>РЕШЕНИЕ</w:t>
      </w:r>
    </w:p>
    <w:p w14:paraId="3DE060D1" w14:textId="77777777" w:rsidR="007F47F2" w:rsidRPr="009C3E49" w:rsidRDefault="007F47F2" w:rsidP="00A25D3A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63EF08C4" w14:textId="77777777" w:rsidR="007F47F2" w:rsidRPr="009C3E49" w:rsidRDefault="007F47F2" w:rsidP="00A25D3A">
      <w:pPr>
        <w:spacing w:line="276" w:lineRule="auto"/>
        <w:jc w:val="center"/>
      </w:pPr>
    </w:p>
    <w:p w14:paraId="6430350C" w14:textId="77777777" w:rsidR="007F47F2" w:rsidRPr="009C3E49" w:rsidRDefault="007F47F2" w:rsidP="00A25D3A">
      <w:pPr>
        <w:spacing w:line="276" w:lineRule="auto"/>
        <w:jc w:val="center"/>
      </w:pPr>
    </w:p>
    <w:p w14:paraId="286FF224" w14:textId="4E20C8CA" w:rsidR="007F47F2" w:rsidRPr="009C3E49" w:rsidRDefault="007F47F2" w:rsidP="00A25D3A">
      <w:pPr>
        <w:spacing w:line="276" w:lineRule="auto"/>
        <w:jc w:val="both"/>
      </w:pPr>
      <w:r w:rsidRPr="009C3E49">
        <w:t xml:space="preserve">от </w:t>
      </w:r>
      <w:r w:rsidR="00547FFB">
        <w:t>31.07.2023г</w:t>
      </w:r>
      <w:r w:rsidR="005A5FFE">
        <w:t xml:space="preserve"> </w:t>
      </w:r>
      <w:r w:rsidRPr="009C3E49">
        <w:t xml:space="preserve"> №</w:t>
      </w:r>
      <w:r w:rsidR="00210FB1">
        <w:t xml:space="preserve"> </w:t>
      </w:r>
      <w:r w:rsidR="00547FFB">
        <w:t>7/1</w:t>
      </w:r>
    </w:p>
    <w:p w14:paraId="69A90E51" w14:textId="77777777" w:rsidR="007F47F2" w:rsidRPr="009C3E49" w:rsidRDefault="007F47F2" w:rsidP="00A25D3A">
      <w:pPr>
        <w:spacing w:line="276" w:lineRule="auto"/>
        <w:jc w:val="both"/>
      </w:pPr>
      <w:r w:rsidRPr="009C3E49">
        <w:t>п. Навля</w:t>
      </w:r>
    </w:p>
    <w:p w14:paraId="15971EF5" w14:textId="77777777" w:rsidR="007F47F2" w:rsidRPr="009C3E49" w:rsidRDefault="007F47F2" w:rsidP="00A25D3A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64C1080B" w:rsidR="00130714" w:rsidRPr="009C3E49" w:rsidRDefault="00130714" w:rsidP="00A25D3A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294182">
              <w:t>1</w:t>
            </w:r>
            <w:r w:rsidRPr="009C3E49">
              <w:t xml:space="preserve"> </w:t>
            </w:r>
            <w:r w:rsidR="0090255B">
              <w:t>полугодие</w:t>
            </w:r>
            <w:r w:rsidRPr="009C3E49">
              <w:t xml:space="preserve"> 20</w:t>
            </w:r>
            <w:r w:rsidR="00C50EDF">
              <w:t>2</w:t>
            </w:r>
            <w:r w:rsidR="009067F3">
              <w:t>3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A25D3A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A25D3A">
      <w:pPr>
        <w:spacing w:line="276" w:lineRule="auto"/>
        <w:jc w:val="both"/>
      </w:pPr>
    </w:p>
    <w:p w14:paraId="3A344222" w14:textId="29CB90D5" w:rsidR="00EC00DE" w:rsidRPr="009C3E49" w:rsidRDefault="007F47F2" w:rsidP="00A25D3A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09203521"/>
      <w:r w:rsidR="0090255B">
        <w:t>заместителя</w:t>
      </w:r>
      <w:r w:rsidR="00791AAA">
        <w:t xml:space="preserve"> </w:t>
      </w:r>
      <w:bookmarkStart w:id="2" w:name="_Hlk68614806"/>
      <w:r w:rsidR="00AD4CB2">
        <w:t xml:space="preserve">главы администрации района, </w:t>
      </w:r>
      <w:r w:rsidR="00791AAA">
        <w:t xml:space="preserve">начальника финансового управления </w:t>
      </w:r>
      <w:bookmarkEnd w:id="2"/>
      <w:r w:rsidR="00AD4CB2">
        <w:t>Сонных Т.А.</w:t>
      </w:r>
      <w:bookmarkEnd w:id="1"/>
      <w:r w:rsidR="0051202A">
        <w:t>,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2BAB9EAC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16.12.2022 №6-236 «О бюджете </w:t>
      </w:r>
      <w:bookmarkStart w:id="3" w:name="_Hlk37774670"/>
      <w:r w:rsidRPr="00A25D3A">
        <w:t xml:space="preserve">Навлинского муниципального района Брянской области </w:t>
      </w:r>
      <w:bookmarkEnd w:id="3"/>
      <w:r w:rsidRPr="00A25D3A">
        <w:t>на 2023 год и на плановый период 2024 и 2025 годов».</w:t>
      </w:r>
    </w:p>
    <w:p w14:paraId="71F2F217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Бюджет Навлинского муниципального района Брянской области за 1 полугодие 2023 года исполнен по доходам в сумме 320 036 тыс. руб., расходам – в сумме 300 340 тыс. руб., с превышением доходов над расходами (профицит бюджета) в сумме 19 696 тыс. руб.</w:t>
      </w:r>
    </w:p>
    <w:p w14:paraId="103E52BF" w14:textId="77777777" w:rsidR="00A25D3A" w:rsidRPr="00A25D3A" w:rsidRDefault="00A25D3A" w:rsidP="00A25D3A">
      <w:pPr>
        <w:spacing w:before="240" w:line="276" w:lineRule="auto"/>
        <w:ind w:firstLine="567"/>
        <w:jc w:val="both"/>
      </w:pPr>
      <w:r w:rsidRPr="00A25D3A">
        <w:rPr>
          <w:b/>
        </w:rPr>
        <w:t>Доходы</w:t>
      </w:r>
      <w:r w:rsidRPr="00A25D3A">
        <w:t xml:space="preserve"> бюджета муниципального района увеличены к уровню прошлого года на 55 966 тыс. руб. или на 21,2% и составили 320 036 тыс. руб., или 49,5% годового плана. </w:t>
      </w:r>
    </w:p>
    <w:p w14:paraId="41F91C90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В структуре доходов бюджета налоговые и неналоговые доходы занимают 22,2%, безвозмездные поступления из других уровней бюджетной системы – 77,8%.</w:t>
      </w:r>
    </w:p>
    <w:p w14:paraId="0CC99C7A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Объем поступлений налоговых и неналоговых доходов составил 70 959 тыс. руб., темп роста – 94,6%. Годовой план исполнен на 45,9%. </w:t>
      </w:r>
    </w:p>
    <w:p w14:paraId="2D84B7D5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Удельный вес налоговых доходов в общей сумме налоговых и неналоговых доходов составил 86,7%, неналоговых –13,3%. </w:t>
      </w:r>
    </w:p>
    <w:p w14:paraId="578D331B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В целом за отчетный период поступления собственных доходов уменьшились к уровню предыдущего года на 4 076 тыс. руб., при этом налоговые доходы снижены на 1 653 тыс. руб., неналоговые доходы – на 2 423 тыс. руб. </w:t>
      </w:r>
    </w:p>
    <w:p w14:paraId="5EEE6CA5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Существенное снижение налоговых доходов сложилось в связи с изменением налогового законодательства, введением с 01.01.2023 единого налогового счета и изменением порядка зачисления доходов в муниципальные бюджеты, снижением поступлений НДФЛ от дивидендов и доходов от продажи земельных участков.</w:t>
      </w:r>
    </w:p>
    <w:p w14:paraId="7BCAEDF9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Основные поступления в бюджет района (89,2%) обеспечены тремя доходными источниками: налогом на доходы физических лиц, налогами на товары (работы, услуги), реализуемые на территории РФ и доходами от продажи земельных участков.</w:t>
      </w:r>
    </w:p>
    <w:p w14:paraId="33186936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Наибольший удельный вес, по-прежнему, занимает налог на доходы физических лиц – 72,5% (51 453 тыс. руб.). По сравнению с прошлым годом поступления налога на доходы физических лиц уменьшились на 1 653 тыс. руб., темп роста составил 97,4%. Годовой план исполнен на 42,9%.</w:t>
      </w:r>
    </w:p>
    <w:p w14:paraId="4A890AEB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lastRenderedPageBreak/>
        <w:t>По группе налогов на совокупный доход поступления снижены к уровню предыдущего года (далее – АППГ) на 656 тыс. руб., в том числе по патентам – на 119 тыс. руб., по единому сельскохозяйственному налог – на 617 тыс. руб.</w:t>
      </w:r>
    </w:p>
    <w:p w14:paraId="0674AC19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По группе </w:t>
      </w:r>
      <w:bookmarkStart w:id="4" w:name="_Hlk131512171"/>
      <w:r w:rsidRPr="00A25D3A">
        <w:t>налогов на товары (работы, услуги), реализуемые на территории РФ</w:t>
      </w:r>
      <w:bookmarkEnd w:id="4"/>
      <w:r w:rsidRPr="00A25D3A">
        <w:t xml:space="preserve">, доходы от акцизов на ГСМ увеличены на 74 тыс. руб. и составили 6 180 тыс. руб., темп роста – 101,2%. Годовой план исполнен на 54,5%. </w:t>
      </w:r>
    </w:p>
    <w:p w14:paraId="44FADC93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Государственная пошлина поступила в сумме 1 301 тыс. руб., что выше АППГ на 304 тыс. руб. Годовой план исполнен на 57,5%, темп роста к АППГ составил 130,5%.</w:t>
      </w:r>
    </w:p>
    <w:p w14:paraId="66ECD4A8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Объем неналоговых платежей за отчетный период составил 9 453 тыс. руб., что ниже АППГ на 2 423 тыс. руб., годовой план исполнен на 84,2%. </w:t>
      </w:r>
    </w:p>
    <w:p w14:paraId="26A72865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Доходы от использования имущества, находящегося в муниципальной собственности увеличены к АППГ на 162 тыс. руб. и составили 2 490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75C56BBA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Доходы от продажи материальных и нематериальных активов поступили в объеме 5 687 тыс. руб., что ниже АППГ на 3 122 тыс. руб. Годовой план исполнен на 82,9%.</w:t>
      </w:r>
    </w:p>
    <w:p w14:paraId="31C2B1E3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 Доходы от поступления штрафных санкций составили 1 098 тыс. руб., что выше АППГ на 489 тыс. руб. Годовой план исполнен на 170,8%.</w:t>
      </w:r>
    </w:p>
    <w:p w14:paraId="152F19EC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В 2023 году в целях снижения недоимки проведено 6 заседаний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434,1 тыс. руб., в том числе в консолидированный бюджет района 416 тыс. руб. </w:t>
      </w:r>
    </w:p>
    <w:p w14:paraId="4B023F03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Объем безвозмездных поступлений из других уровней бюджетной системы составил 249 077 тыс. руб. или 50,6% к уточненным плановым назначениям.</w:t>
      </w:r>
    </w:p>
    <w:p w14:paraId="30382C7C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К уровню прошлого года объем безвозмездных поступлений в целом увеличен на 60 042 тыс. руб., в том числе дотаций – на 166 тыс. руб. (38 901 тыс. руб.); иных межбюджетных трансфертов – на 2 141 тыс. руб. (12 864 тыс. руб.); субвенций – на 45 302 тыс. руб. (163 892 тыс. руб.); субсидий – на 12 433 тыс. руб. (33 420 тыс. руб.).</w:t>
      </w:r>
    </w:p>
    <w:p w14:paraId="760F5514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В целях исполнения принятых обязательств и обеспечения устойчивости бюджетной системы разработан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задолженности, экономический эффект от реализации плановых мероприятий за отчетный период составил 6 895,3 тыс. руб.</w:t>
      </w:r>
    </w:p>
    <w:p w14:paraId="453FDDC5" w14:textId="77777777" w:rsidR="00A25D3A" w:rsidRPr="00A25D3A" w:rsidRDefault="00A25D3A" w:rsidP="00A25D3A">
      <w:pPr>
        <w:spacing w:before="240" w:line="276" w:lineRule="auto"/>
        <w:ind w:firstLine="567"/>
        <w:jc w:val="both"/>
      </w:pPr>
      <w:r w:rsidRPr="00A25D3A">
        <w:rPr>
          <w:b/>
        </w:rPr>
        <w:t>Расходы</w:t>
      </w:r>
      <w:r w:rsidRPr="00A25D3A">
        <w:t xml:space="preserve"> бюджета муниципального района за отчетный период увеличились к уровню прошлого года на 64 361 тыс. руб. и составили 300 340,3 тыс. руб. Годовой план исполнен на 44,3%. </w:t>
      </w:r>
    </w:p>
    <w:p w14:paraId="3E2BB1FF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90,8% от общего объема расходов бюджета, на эти цели направлено 272 712,8 тыс. рублей.</w:t>
      </w:r>
    </w:p>
    <w:p w14:paraId="2D585EE7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>Расходы по общегосударственным вопросам</w:t>
      </w:r>
      <w:r w:rsidRPr="00A25D3A">
        <w:t xml:space="preserve"> исполнены в объеме 17 438,5 тыс. руб., что на 534 тыс. руб. или на 3,2% выше АППГ. Годовой план исполнен на 35,9%.</w:t>
      </w:r>
    </w:p>
    <w:p w14:paraId="323D8089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На содержание многофункционального центра для оказания государственных и муниципальных услуг направлено 2 256,7 тыс. руб., что на 626,6 тыс. руб. или на 38,4% выше АППГ.</w:t>
      </w:r>
    </w:p>
    <w:p w14:paraId="7C78DF95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На оценку имущества, признание прав направлено 130,7 тыс. руб., что на 22,9 тыс. руб. или на 14,9% меньше АППГ.</w:t>
      </w:r>
    </w:p>
    <w:p w14:paraId="442652D6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>Расходы по отрасли «Национальная экономика»</w:t>
      </w:r>
      <w:r w:rsidRPr="00A25D3A">
        <w:t xml:space="preserve"> снижены на 47,3 тыс. руб. и составили в отчетном периоде 4 322,7 тыс. руб., годовой план исполнен на 17,7%. </w:t>
      </w:r>
    </w:p>
    <w:p w14:paraId="0D44B163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На обеспечение пассажирских перевозок жителей района направлено 3 354,3 тыс. руб., что на 910 тыс. руб. или на 37,2% выше АППГ.</w:t>
      </w:r>
    </w:p>
    <w:p w14:paraId="1F55EE0C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На содержание дорог в сельских населенных пунктах направлено 870,6 тыс. руб., что на 958,8 тыс. руб. или на 52,4% меньше АППГ.</w:t>
      </w:r>
    </w:p>
    <w:p w14:paraId="3E99F5FC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>Расходы по отрасли «Жилищно-коммунальное хозяйство»</w:t>
      </w:r>
      <w:r w:rsidRPr="00A25D3A">
        <w:t xml:space="preserve"> исполнены в размере 2 429 ,9 тыс. рублей, годовой план исполнен на 60,2%. По данной отрасли отражены расходы на подготовку объектов жилищно-коммунального хозяйства к зиме (капитальный ремонт водонапорной башни в п. Навля).</w:t>
      </w:r>
    </w:p>
    <w:p w14:paraId="337EA428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>Расходы на образование</w:t>
      </w:r>
      <w:r w:rsidRPr="00A25D3A">
        <w:t xml:space="preserve"> исполнены в объеме 225 854,2 тыс. руб., что на 38 752,6 тыс. руб. или на 20,7% выше АППГ. Годовой план исполнен на 48,7%. В структуре расходов бюджета в целом затраты на образование составляют наибольшую долю – 75,2%. </w:t>
      </w:r>
    </w:p>
    <w:p w14:paraId="1C6C63AE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На обеспечение дошкольного образования направлено 37 869,5 тыс. руб., что на 2 617 тыс. руб. или на 7,4% выше АППГ. </w:t>
      </w:r>
    </w:p>
    <w:p w14:paraId="0538D930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На обеспечение общего образования направлено 165 211 тыс. руб., что на 40 399,8 тыс. руб. или на 32,4% выше АППГ.</w:t>
      </w:r>
    </w:p>
    <w:p w14:paraId="70F0CB25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На содержание организаций дополнительного образования направлено 7 153,9 тыс. руб., что на 3 394,6 тыс. руб. меньше АППГ. Уменьшение расходов связано с перерегистрацией ДЮСШ в спортивную школу и отнесением расходов учреждения с 01.01.2023 года на раздел 1103 «Спорт высших достижений». </w:t>
      </w:r>
    </w:p>
    <w:p w14:paraId="60AE39EF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>Расходы по отрасли «Культура»</w:t>
      </w:r>
      <w:r w:rsidRPr="00A25D3A">
        <w:t xml:space="preserve"> составили 15 515,2 тыс. руб., что на 1 590 тыс. руб. или на 11,4% выше АППГ. Годовой план исполнен на 45%.</w:t>
      </w:r>
    </w:p>
    <w:p w14:paraId="16F16A75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 На обеспечение деятельности межпоселенческой библиотеки направлено 7 848,2 тыс. руб., районного Дома культуры – 7 634,8 тыс. руб. </w:t>
      </w:r>
    </w:p>
    <w:p w14:paraId="468DBBCF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 xml:space="preserve">По отрасли «Социальная политика» </w:t>
      </w:r>
      <w:r w:rsidRPr="00A25D3A">
        <w:t xml:space="preserve">расходы исполнены в объеме 27 340,7 тыс. руб., что на 16 206,7 тыс. руб. или в 2,4 раза выше АППГ. Годовой план исполнен на 33,2%. В структуре расходов бюджета в целом затраты на социальную политику составили 9,1%. </w:t>
      </w:r>
    </w:p>
    <w:p w14:paraId="466ABB9B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На мероприятия по охране семьи и детства направлено 25 612,6 тыс. руб., что на 16 650 тыс. руб. или в 2,8 раза выше АППГ. Увеличение расходов, в основном, связано с приобретением жилых помещений детям – сиротам в сумме 19 754,8 тыс. руб.</w:t>
      </w:r>
    </w:p>
    <w:p w14:paraId="07AC071F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Расходы на выплату пенсии муниципальным служащим составили 1 691 тыс. руб., что на 196 тыс. руб. или на 13% выше АППГ в связи с увеличением количества получателей. </w:t>
      </w:r>
    </w:p>
    <w:p w14:paraId="6D99F39F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>На мероприятия в сфере физической культуры и спорта</w:t>
      </w:r>
      <w:r w:rsidRPr="00A25D3A">
        <w:t xml:space="preserve"> направлено 4 002,6 тыс. руб., или 47,4% годового плана. </w:t>
      </w:r>
    </w:p>
    <w:p w14:paraId="4623FFEA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rPr>
          <w:i/>
        </w:rPr>
        <w:t>Объем межбюджетных трансфертов бюджетам поселений</w:t>
      </w:r>
      <w:r w:rsidRPr="00A25D3A">
        <w:t xml:space="preserve"> составил 1 262,3 тыс. руб., что на 623,3 тыс. руб. или в 2 раза выше АППГ. Годовой план исполнен на 31,6%. В структуре расходов бюджета в целом затраты составляют 0,4%.  </w:t>
      </w:r>
    </w:p>
    <w:p w14:paraId="6E1D963C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За отчетный период исполнение бюджета осуществлялось в рамках реализации 5-ти муниципальных программ:</w:t>
      </w:r>
    </w:p>
    <w:p w14:paraId="00198106" w14:textId="77777777" w:rsidR="00A25D3A" w:rsidRPr="00A25D3A" w:rsidRDefault="00A25D3A" w:rsidP="00A25D3A">
      <w:pPr>
        <w:numPr>
          <w:ilvl w:val="0"/>
          <w:numId w:val="11"/>
        </w:numPr>
        <w:spacing w:line="276" w:lineRule="auto"/>
        <w:ind w:left="0" w:firstLine="567"/>
        <w:jc w:val="both"/>
      </w:pPr>
      <w:r w:rsidRPr="00A25D3A">
        <w:t xml:space="preserve">МП «Реализация полномочий администрации Навлинского района» – 63 499,8 тыс. руб., удельный вес в структуре расходов – 21,2%. </w:t>
      </w:r>
    </w:p>
    <w:p w14:paraId="6D777528" w14:textId="77777777" w:rsidR="00A25D3A" w:rsidRPr="00A25D3A" w:rsidRDefault="00A25D3A" w:rsidP="00A25D3A">
      <w:pPr>
        <w:numPr>
          <w:ilvl w:val="0"/>
          <w:numId w:val="11"/>
        </w:numPr>
        <w:spacing w:line="276" w:lineRule="auto"/>
        <w:ind w:left="0" w:firstLine="567"/>
        <w:jc w:val="both"/>
      </w:pPr>
      <w:r w:rsidRPr="00A25D3A">
        <w:t>МП «Управление муниципальной собственностью Навлинского района» – 1 182,2 тыс. руб., удельный вес в структуре расходов – 0,4%.</w:t>
      </w:r>
    </w:p>
    <w:p w14:paraId="1AD65F4B" w14:textId="77777777" w:rsidR="00A25D3A" w:rsidRPr="00A25D3A" w:rsidRDefault="00A25D3A" w:rsidP="00A25D3A">
      <w:pPr>
        <w:numPr>
          <w:ilvl w:val="0"/>
          <w:numId w:val="11"/>
        </w:numPr>
        <w:spacing w:line="276" w:lineRule="auto"/>
        <w:ind w:left="0" w:firstLine="567"/>
        <w:jc w:val="both"/>
      </w:pPr>
      <w:r w:rsidRPr="00A25D3A">
        <w:t>МП «Развитие образования Навлинского района» – 230 102,6 тыс. руб., удельный вес в структуре расходов – 76,9%.</w:t>
      </w:r>
    </w:p>
    <w:p w14:paraId="2D1286C1" w14:textId="77777777" w:rsidR="00A25D3A" w:rsidRPr="00A25D3A" w:rsidRDefault="00A25D3A" w:rsidP="00A25D3A">
      <w:pPr>
        <w:numPr>
          <w:ilvl w:val="0"/>
          <w:numId w:val="11"/>
        </w:numPr>
        <w:spacing w:line="276" w:lineRule="auto"/>
        <w:ind w:left="0" w:firstLine="567"/>
        <w:jc w:val="both"/>
      </w:pPr>
      <w:r w:rsidRPr="00A25D3A">
        <w:t>МП «Управление муниципальными финансами Навлинского района» – 4 253,4 тыс. руб., удельный вес в структуре расходов – 1,4%.</w:t>
      </w:r>
    </w:p>
    <w:p w14:paraId="3AC87108" w14:textId="77777777" w:rsidR="00A25D3A" w:rsidRPr="00A25D3A" w:rsidRDefault="00A25D3A" w:rsidP="00A25D3A">
      <w:pPr>
        <w:numPr>
          <w:ilvl w:val="0"/>
          <w:numId w:val="11"/>
        </w:numPr>
        <w:spacing w:line="276" w:lineRule="auto"/>
        <w:ind w:left="0" w:firstLine="567"/>
        <w:jc w:val="both"/>
      </w:pPr>
      <w:r w:rsidRPr="00A25D3A">
        <w:t>МП «Энергосбережение и повышение энергетической эффективности Навлинского района» – 102,4 тыс. руб.</w:t>
      </w:r>
    </w:p>
    <w:p w14:paraId="36A50E5B" w14:textId="15C6F07E" w:rsidR="00A25D3A" w:rsidRPr="00A25D3A" w:rsidRDefault="00A25D3A" w:rsidP="00A25D3A">
      <w:pPr>
        <w:spacing w:line="276" w:lineRule="auto"/>
        <w:ind w:firstLine="567"/>
        <w:jc w:val="both"/>
      </w:pPr>
      <w:r w:rsidRPr="00A25D3A">
        <w:t>Финансирование программных мероприятий составило 299 140,5 тыс. руб., что на 63 992,2 тыс. руб. или на 27,2% выше АППГ</w:t>
      </w:r>
      <w:r>
        <w:t>.</w:t>
      </w:r>
    </w:p>
    <w:p w14:paraId="752499B7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>Расходы по муниципальной программе «Поддержка местных инициатив граждан на территории Навлинского района» в отчетном периоде не осуществлялись.</w:t>
      </w:r>
    </w:p>
    <w:p w14:paraId="1829E776" w14:textId="2C841EDE" w:rsidR="00A25D3A" w:rsidRPr="00A25D3A" w:rsidRDefault="00A25D3A" w:rsidP="00A25D3A">
      <w:pPr>
        <w:spacing w:before="240" w:line="276" w:lineRule="auto"/>
        <w:ind w:firstLine="567"/>
        <w:jc w:val="both"/>
      </w:pPr>
      <w:r w:rsidRPr="00A25D3A">
        <w:t xml:space="preserve">Непрограммные расходы </w:t>
      </w:r>
      <w:r>
        <w:t xml:space="preserve">увеличены </w:t>
      </w:r>
      <w:r w:rsidRPr="00A25D3A">
        <w:t xml:space="preserve">на 368,9 тыс. руб. или на 44,3% </w:t>
      </w:r>
      <w:r>
        <w:t xml:space="preserve">и </w:t>
      </w:r>
      <w:r w:rsidRPr="00A25D3A">
        <w:t xml:space="preserve">составили 1 199,8 тыс. руб., в том числе на обеспечение непредвиденных расходов из резервного фонда в соответствии с Порядком, утвержденным Постановлением администрации Навлинского района от 14.06.2019 №340, выделено 314 тыс. руб. </w:t>
      </w:r>
    </w:p>
    <w:p w14:paraId="1AA15596" w14:textId="77777777" w:rsidR="00A25D3A" w:rsidRPr="00A25D3A" w:rsidRDefault="00A25D3A" w:rsidP="00A25D3A">
      <w:pPr>
        <w:spacing w:before="240" w:line="276" w:lineRule="auto"/>
        <w:ind w:firstLine="567"/>
        <w:jc w:val="both"/>
      </w:pPr>
      <w:r w:rsidRPr="00A25D3A">
        <w:t>Кредиторской задолженности по состоянию на 01.07.2023 года не допущено.</w:t>
      </w:r>
    </w:p>
    <w:p w14:paraId="3A5D2C6A" w14:textId="77777777" w:rsidR="00A25D3A" w:rsidRPr="00A25D3A" w:rsidRDefault="00A25D3A" w:rsidP="00A25D3A">
      <w:pPr>
        <w:spacing w:line="276" w:lineRule="auto"/>
        <w:ind w:firstLine="567"/>
        <w:jc w:val="both"/>
      </w:pPr>
      <w:r w:rsidRPr="00A25D3A">
        <w:t xml:space="preserve">Муниципальный долг по состоянию на 01.07.2023 года отсутствует, муниципальные гарантии не предоставлялись. </w:t>
      </w:r>
    </w:p>
    <w:p w14:paraId="57B2BDC8" w14:textId="77777777" w:rsidR="0051202A" w:rsidRDefault="00A25D3A" w:rsidP="00A25D3A">
      <w:pPr>
        <w:spacing w:before="240" w:line="276" w:lineRule="auto"/>
        <w:ind w:firstLine="567"/>
        <w:jc w:val="both"/>
      </w:pPr>
      <w:r w:rsidRPr="00A25D3A">
        <w:t xml:space="preserve">Рассмотрев итоги исполнения бюджета Навлинского муниципального района Брянской области за первое полугодие 2023 года, </w:t>
      </w:r>
    </w:p>
    <w:p w14:paraId="7B240A82" w14:textId="7F277772" w:rsidR="00777148" w:rsidRDefault="0051202A" w:rsidP="00A25D3A">
      <w:pPr>
        <w:spacing w:before="240" w:line="276" w:lineRule="auto"/>
        <w:ind w:firstLine="567"/>
        <w:jc w:val="both"/>
      </w:pPr>
      <w:r>
        <w:t>К</w:t>
      </w:r>
      <w:r w:rsidR="00A25D3A" w:rsidRPr="00A25D3A">
        <w:t>оллегия при главе администрации района</w:t>
      </w:r>
    </w:p>
    <w:p w14:paraId="30B41E54" w14:textId="77777777" w:rsidR="007F47F2" w:rsidRPr="009C3E49" w:rsidRDefault="007F47F2" w:rsidP="0051202A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2B99CA7A" w:rsidR="007F47F2" w:rsidRPr="009C3E49" w:rsidRDefault="007F47F2" w:rsidP="00A25D3A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AD4CB2" w:rsidRPr="00AD4CB2">
        <w:t xml:space="preserve">заместителя главы администрации района, начальника финансового управления </w:t>
      </w:r>
      <w:r w:rsidR="0051202A" w:rsidRPr="00AD4CB2">
        <w:t>Т.А.</w:t>
      </w:r>
      <w:r w:rsidR="0051202A">
        <w:t xml:space="preserve"> </w:t>
      </w:r>
      <w:r w:rsidR="00AD4CB2" w:rsidRPr="00AD4CB2">
        <w:t xml:space="preserve">Сонных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73361" w:rsidRPr="009C3E49">
        <w:t xml:space="preserve">1 </w:t>
      </w:r>
      <w:r w:rsidR="008A0560">
        <w:t>полугодие</w:t>
      </w:r>
      <w:r w:rsidRPr="009C3E49">
        <w:t xml:space="preserve"> 20</w:t>
      </w:r>
      <w:r w:rsidR="00294182">
        <w:t>2</w:t>
      </w:r>
      <w:r w:rsidR="009067F3">
        <w:t>3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2252459C" w:rsidR="007F47F2" w:rsidRPr="009C3E49" w:rsidRDefault="007F47F2" w:rsidP="00A25D3A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8A0560">
        <w:t>августа</w:t>
      </w:r>
      <w:r w:rsidRPr="009C3E49">
        <w:t xml:space="preserve"> направить отчет об исполнении бюджета за </w:t>
      </w:r>
      <w:r w:rsidR="00C73361" w:rsidRPr="009C3E49">
        <w:t xml:space="preserve">1 </w:t>
      </w:r>
      <w:r w:rsidR="008A0560">
        <w:t>полугодие</w:t>
      </w:r>
      <w:r w:rsidRPr="009C3E49">
        <w:t xml:space="preserve"> 20</w:t>
      </w:r>
      <w:r w:rsidR="00EC2B60">
        <w:t>2</w:t>
      </w:r>
      <w:r w:rsidR="009067F3">
        <w:t>3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14:paraId="0033EB14" w14:textId="001E8CE8" w:rsidR="007F47F2" w:rsidRPr="009C3E49" w:rsidRDefault="007F47F2" w:rsidP="00A25D3A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9067F3">
        <w:t>3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A25D3A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6CB5A768" w14:textId="77777777" w:rsidR="00A25D3A" w:rsidRDefault="00F20E50" w:rsidP="00A25D3A">
      <w:pPr>
        <w:pStyle w:val="a6"/>
        <w:numPr>
          <w:ilvl w:val="1"/>
          <w:numId w:val="1"/>
        </w:numPr>
        <w:tabs>
          <w:tab w:val="num" w:pos="0"/>
          <w:tab w:val="num" w:pos="426"/>
        </w:tabs>
        <w:spacing w:line="276" w:lineRule="auto"/>
        <w:ind w:left="0" w:firstLine="567"/>
        <w:jc w:val="both"/>
      </w:pPr>
      <w:r w:rsidRPr="009C3E49">
        <w:t xml:space="preserve">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Навлинск</w:t>
      </w:r>
      <w:r w:rsidR="00EC2B60">
        <w:t>ого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14:paraId="4A34AA7F" w14:textId="77777777" w:rsidR="00A25D3A" w:rsidRDefault="00775998" w:rsidP="00A25D3A">
      <w:pPr>
        <w:pStyle w:val="a6"/>
        <w:numPr>
          <w:ilvl w:val="1"/>
          <w:numId w:val="1"/>
        </w:numPr>
        <w:tabs>
          <w:tab w:val="num" w:pos="0"/>
          <w:tab w:val="num" w:pos="426"/>
        </w:tabs>
        <w:spacing w:line="276" w:lineRule="auto"/>
        <w:ind w:left="0" w:firstLine="567"/>
        <w:jc w:val="both"/>
      </w:pPr>
      <w:r w:rsidRPr="009C3E49">
        <w:t>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617DB3C9" w:rsidR="003B707D" w:rsidRPr="009C3E49" w:rsidRDefault="003B707D" w:rsidP="00A25D3A">
      <w:pPr>
        <w:pStyle w:val="a6"/>
        <w:numPr>
          <w:ilvl w:val="1"/>
          <w:numId w:val="1"/>
        </w:numPr>
        <w:tabs>
          <w:tab w:val="num" w:pos="0"/>
          <w:tab w:val="num" w:pos="426"/>
        </w:tabs>
        <w:spacing w:line="276" w:lineRule="auto"/>
        <w:ind w:left="0" w:firstLine="567"/>
        <w:jc w:val="both"/>
      </w:pPr>
      <w:r w:rsidRPr="009C3E49">
        <w:t>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41192518" w:rsidR="007F47F2" w:rsidRPr="009C3E49" w:rsidRDefault="007F47F2" w:rsidP="00A25D3A">
      <w:pPr>
        <w:pStyle w:val="a6"/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Рекомендовать глав</w:t>
      </w:r>
      <w:r w:rsidR="00EF60F7" w:rsidRPr="009C3E49">
        <w:t>ам</w:t>
      </w:r>
      <w:r w:rsidR="00C47AA0" w:rsidRPr="009C3E49">
        <w:t xml:space="preserve"> Алтуховской</w:t>
      </w:r>
      <w:r w:rsidRPr="009C3E49">
        <w:t xml:space="preserve"> поселков</w:t>
      </w:r>
      <w:r w:rsidR="00C47AA0" w:rsidRPr="009C3E49">
        <w:t>ой</w:t>
      </w:r>
      <w:r w:rsidRPr="009C3E49">
        <w:t xml:space="preserve"> администраци</w:t>
      </w:r>
      <w:r w:rsidR="00C47AA0" w:rsidRPr="009C3E49">
        <w:t>и</w:t>
      </w:r>
      <w:r w:rsidRPr="009C3E49">
        <w:t xml:space="preserve"> и сельских поселений:</w:t>
      </w:r>
    </w:p>
    <w:p w14:paraId="7BAAA5D1" w14:textId="21168364" w:rsidR="00EF60F7" w:rsidRPr="009C3E49" w:rsidRDefault="001C38C0" w:rsidP="00A25D3A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9067F3">
        <w:t>3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25D3A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77777777" w:rsidR="003B707D" w:rsidRDefault="003B707D" w:rsidP="00A25D3A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14:paraId="4B1A2B70" w14:textId="77777777" w:rsidR="00A25D3A" w:rsidRDefault="00E840B8" w:rsidP="00A25D3A">
      <w:pPr>
        <w:pStyle w:val="a6"/>
        <w:numPr>
          <w:ilvl w:val="0"/>
          <w:numId w:val="1"/>
        </w:numPr>
        <w:spacing w:line="276" w:lineRule="auto"/>
        <w:ind w:left="0" w:firstLine="567"/>
        <w:jc w:val="both"/>
      </w:pPr>
      <w:r>
        <w:t>Снять с контроля р</w:t>
      </w:r>
      <w:r w:rsidRPr="00660AC7">
        <w:t xml:space="preserve">ешение коллегии при Главе администрации Навлинского района от </w:t>
      </w:r>
      <w:r w:rsidR="008A0560">
        <w:t>2</w:t>
      </w:r>
      <w:r w:rsidR="009067F3">
        <w:t>4</w:t>
      </w:r>
      <w:r>
        <w:t>.0</w:t>
      </w:r>
      <w:r w:rsidR="008A0560">
        <w:t>4</w:t>
      </w:r>
      <w:r>
        <w:t>.202</w:t>
      </w:r>
      <w:r w:rsidR="009067F3">
        <w:t>3</w:t>
      </w:r>
      <w:r>
        <w:t xml:space="preserve"> </w:t>
      </w:r>
      <w:r w:rsidRPr="009C3E49">
        <w:t>№</w:t>
      </w:r>
      <w:r w:rsidR="008A0560">
        <w:t>4</w:t>
      </w:r>
      <w:r>
        <w:t xml:space="preserve">/1 </w:t>
      </w:r>
      <w:r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>
        <w:t xml:space="preserve">за </w:t>
      </w:r>
      <w:r w:rsidR="008A0560">
        <w:t xml:space="preserve">1 квартал </w:t>
      </w:r>
      <w:r w:rsidRPr="00660AC7">
        <w:t>20</w:t>
      </w:r>
      <w:r w:rsidR="00791AAA">
        <w:t>2</w:t>
      </w:r>
      <w:r w:rsidR="009067F3">
        <w:t>3</w:t>
      </w:r>
      <w:r w:rsidRPr="00660AC7">
        <w:t xml:space="preserve"> год</w:t>
      </w:r>
      <w:r w:rsidR="008A0560">
        <w:t>а</w:t>
      </w:r>
      <w:r w:rsidRPr="00660AC7">
        <w:t>».</w:t>
      </w:r>
    </w:p>
    <w:p w14:paraId="64799FBE" w14:textId="3C46B222" w:rsidR="007F47F2" w:rsidRPr="009C3E49" w:rsidRDefault="007F47F2" w:rsidP="00A25D3A">
      <w:pPr>
        <w:pStyle w:val="a6"/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 xml:space="preserve">начальника финансового управления </w:t>
      </w:r>
      <w:r w:rsidRPr="009C3E49">
        <w:t>Т.А. Сонных.</w:t>
      </w:r>
    </w:p>
    <w:p w14:paraId="28F230EA" w14:textId="77777777" w:rsidR="007F47F2" w:rsidRPr="009C3E49" w:rsidRDefault="007F47F2" w:rsidP="00A25D3A">
      <w:pPr>
        <w:spacing w:line="276" w:lineRule="auto"/>
        <w:ind w:left="360"/>
        <w:jc w:val="both"/>
      </w:pPr>
    </w:p>
    <w:p w14:paraId="6E4B4245" w14:textId="77777777" w:rsidR="000B081B" w:rsidRPr="009C3E49" w:rsidRDefault="000B081B" w:rsidP="00A25D3A">
      <w:pPr>
        <w:spacing w:line="276" w:lineRule="auto"/>
      </w:pPr>
    </w:p>
    <w:p w14:paraId="583A32EC" w14:textId="77777777" w:rsidR="000B081B" w:rsidRPr="009C3E49" w:rsidRDefault="000B081B" w:rsidP="00A25D3A">
      <w:pPr>
        <w:spacing w:line="276" w:lineRule="auto"/>
      </w:pPr>
      <w:r w:rsidRPr="009C3E49">
        <w:t xml:space="preserve">Глава администрации Навлинского </w:t>
      </w:r>
    </w:p>
    <w:p w14:paraId="4BC06A44" w14:textId="26737CC8" w:rsidR="000B081B" w:rsidRPr="009C3E49" w:rsidRDefault="00F76584" w:rsidP="00A25D3A">
      <w:pPr>
        <w:spacing w:line="276" w:lineRule="auto"/>
      </w:pPr>
      <w:r w:rsidRPr="009C3E49">
        <w:t xml:space="preserve">района, </w:t>
      </w:r>
      <w:r w:rsidR="000B081B" w:rsidRPr="009C3E49">
        <w:t xml:space="preserve">председатель </w:t>
      </w:r>
      <w:r w:rsidR="0051202A">
        <w:t>К</w:t>
      </w:r>
      <w:r w:rsidR="000B081B" w:rsidRPr="009C3E49">
        <w:t>оллегии                                                                                  А.А. Прудник</w:t>
      </w:r>
    </w:p>
    <w:p w14:paraId="2FB98713" w14:textId="77777777" w:rsidR="007F47F2" w:rsidRDefault="007F47F2" w:rsidP="00A25D3A">
      <w:pPr>
        <w:spacing w:line="276" w:lineRule="auto"/>
      </w:pPr>
    </w:p>
    <w:p w14:paraId="7B7FAB9B" w14:textId="77777777" w:rsidR="00210828" w:rsidRDefault="00210828" w:rsidP="00A25D3A">
      <w:pPr>
        <w:spacing w:line="276" w:lineRule="auto"/>
      </w:pPr>
    </w:p>
    <w:sectPr w:rsidR="00210828" w:rsidSect="0090255B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4F5F" w14:textId="77777777" w:rsidR="00760F2E" w:rsidRDefault="00760F2E" w:rsidP="000B081B">
      <w:r>
        <w:separator/>
      </w:r>
    </w:p>
  </w:endnote>
  <w:endnote w:type="continuationSeparator" w:id="0">
    <w:p w14:paraId="669961E8" w14:textId="77777777" w:rsidR="00760F2E" w:rsidRDefault="00760F2E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2A">
          <w:rPr>
            <w:noProof/>
          </w:rPr>
          <w:t>5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9FAB" w14:textId="77777777" w:rsidR="00760F2E" w:rsidRDefault="00760F2E" w:rsidP="000B081B">
      <w:r>
        <w:separator/>
      </w:r>
    </w:p>
  </w:footnote>
  <w:footnote w:type="continuationSeparator" w:id="0">
    <w:p w14:paraId="2EC741F8" w14:textId="77777777" w:rsidR="00760F2E" w:rsidRDefault="00760F2E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031CB"/>
    <w:multiLevelType w:val="hybridMultilevel"/>
    <w:tmpl w:val="356A922A"/>
    <w:lvl w:ilvl="0" w:tplc="770EEC7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3D4F7A"/>
    <w:multiLevelType w:val="multilevel"/>
    <w:tmpl w:val="6C4AC206"/>
    <w:lvl w:ilvl="0">
      <w:start w:val="1"/>
      <w:numFmt w:val="decimal"/>
      <w:suff w:val="space"/>
      <w:lvlText w:val="%1."/>
      <w:lvlJc w:val="left"/>
      <w:pPr>
        <w:ind w:left="505" w:hanging="363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935" w:hanging="363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150" w:hanging="363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365" w:hanging="363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580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795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2010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225" w:hanging="363"/>
      </w:pPr>
      <w:rPr>
        <w:rFonts w:cs="Times New Roman" w:hint="default"/>
      </w:rPr>
    </w:lvl>
  </w:abstractNum>
  <w:abstractNum w:abstractNumId="4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57B42DE"/>
    <w:multiLevelType w:val="multilevel"/>
    <w:tmpl w:val="6C4AC206"/>
    <w:lvl w:ilvl="0">
      <w:start w:val="1"/>
      <w:numFmt w:val="decimal"/>
      <w:suff w:val="space"/>
      <w:lvlText w:val="%1."/>
      <w:lvlJc w:val="left"/>
      <w:pPr>
        <w:ind w:left="505" w:hanging="363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935" w:hanging="363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150" w:hanging="363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365" w:hanging="363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580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795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2010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225" w:hanging="363"/>
      </w:pPr>
      <w:rPr>
        <w:rFonts w:cs="Times New Roman" w:hint="default"/>
      </w:rPr>
    </w:lvl>
  </w:abstractNum>
  <w:abstractNum w:abstractNumId="8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7948442">
    <w:abstractNumId w:val="7"/>
  </w:num>
  <w:num w:numId="2" w16cid:durableId="126709414">
    <w:abstractNumId w:val="4"/>
  </w:num>
  <w:num w:numId="3" w16cid:durableId="1782533497">
    <w:abstractNumId w:val="8"/>
  </w:num>
  <w:num w:numId="4" w16cid:durableId="1816288483">
    <w:abstractNumId w:val="9"/>
  </w:num>
  <w:num w:numId="5" w16cid:durableId="923535333">
    <w:abstractNumId w:val="0"/>
  </w:num>
  <w:num w:numId="6" w16cid:durableId="1260143538">
    <w:abstractNumId w:val="6"/>
  </w:num>
  <w:num w:numId="7" w16cid:durableId="1379819554">
    <w:abstractNumId w:val="11"/>
  </w:num>
  <w:num w:numId="8" w16cid:durableId="1248265154">
    <w:abstractNumId w:val="2"/>
  </w:num>
  <w:num w:numId="9" w16cid:durableId="1434129351">
    <w:abstractNumId w:val="10"/>
  </w:num>
  <w:num w:numId="10" w16cid:durableId="905845939">
    <w:abstractNumId w:val="5"/>
  </w:num>
  <w:num w:numId="11" w16cid:durableId="82455726">
    <w:abstractNumId w:val="1"/>
  </w:num>
  <w:num w:numId="12" w16cid:durableId="1171022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845CC"/>
    <w:rsid w:val="00195295"/>
    <w:rsid w:val="00196CF7"/>
    <w:rsid w:val="00197102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46EC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7B9"/>
    <w:rsid w:val="003D7DED"/>
    <w:rsid w:val="003E0ED3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1202A"/>
    <w:rsid w:val="00520FD2"/>
    <w:rsid w:val="0052258A"/>
    <w:rsid w:val="00532C2A"/>
    <w:rsid w:val="005407FB"/>
    <w:rsid w:val="00544129"/>
    <w:rsid w:val="005442AB"/>
    <w:rsid w:val="00547FF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A5FFE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40F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0F2E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105F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0560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255B"/>
    <w:rsid w:val="00903164"/>
    <w:rsid w:val="009038F7"/>
    <w:rsid w:val="0090525D"/>
    <w:rsid w:val="00905A53"/>
    <w:rsid w:val="009067F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020CA"/>
    <w:rsid w:val="00A138E1"/>
    <w:rsid w:val="00A1509B"/>
    <w:rsid w:val="00A25D3A"/>
    <w:rsid w:val="00A42932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4CB2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129E-693F-49FB-AEA2-BE798285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2021-07-27T08:49:00Z</cp:lastPrinted>
  <dcterms:created xsi:type="dcterms:W3CDTF">2023-07-31T12:42:00Z</dcterms:created>
  <dcterms:modified xsi:type="dcterms:W3CDTF">2023-07-31T12:42:00Z</dcterms:modified>
</cp:coreProperties>
</file>