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1" w:rsidRPr="00E7638F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r>
        <w:rPr>
          <w:lang w:eastAsia="ru-RU"/>
        </w:rPr>
        <w:t xml:space="preserve">28.12.2020 </w:t>
      </w:r>
      <w:r w:rsidRPr="00850A51">
        <w:rPr>
          <w:lang w:eastAsia="ru-RU"/>
        </w:rPr>
        <w:t xml:space="preserve"> № </w:t>
      </w:r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2405D3">
        <w:rPr>
          <w:b/>
          <w:lang w:eastAsia="ru-RU"/>
        </w:rPr>
        <w:t>МУНИЦИПАЛЬНАЯ ПРОГРАММА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F7190E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 xml:space="preserve">«Энергосбережение и повышение энергетической эффективности в Навлинском </w:t>
      </w:r>
      <w:r w:rsidR="00545AFE" w:rsidRPr="002405D3">
        <w:rPr>
          <w:lang w:eastAsia="ru-RU"/>
        </w:rPr>
        <w:t xml:space="preserve">муниципальном </w:t>
      </w:r>
      <w:r w:rsidRPr="00F7190E">
        <w:rPr>
          <w:lang w:eastAsia="ru-RU"/>
        </w:rPr>
        <w:t>районе Брянской области на период  20</w:t>
      </w:r>
      <w:r w:rsidR="00AC2D3E" w:rsidRPr="00F7190E">
        <w:rPr>
          <w:lang w:eastAsia="ru-RU"/>
        </w:rPr>
        <w:t>21</w:t>
      </w:r>
      <w:r w:rsidRPr="00F7190E">
        <w:rPr>
          <w:lang w:eastAsia="ru-RU"/>
        </w:rPr>
        <w:t xml:space="preserve"> </w:t>
      </w:r>
      <w:r w:rsidR="00F7190E">
        <w:rPr>
          <w:lang w:eastAsia="ru-RU"/>
        </w:rPr>
        <w:t xml:space="preserve">- </w:t>
      </w:r>
      <w:r w:rsidRPr="00F7190E">
        <w:rPr>
          <w:lang w:eastAsia="ru-RU"/>
        </w:rPr>
        <w:t>20</w:t>
      </w:r>
      <w:r w:rsidR="00C112A4" w:rsidRPr="00F7190E">
        <w:rPr>
          <w:lang w:eastAsia="ru-RU"/>
        </w:rPr>
        <w:t>2</w:t>
      </w:r>
      <w:r w:rsidR="00AC2D3E" w:rsidRPr="00F7190E">
        <w:rPr>
          <w:lang w:eastAsia="ru-RU"/>
        </w:rPr>
        <w:t>5</w:t>
      </w:r>
      <w:r w:rsidR="00C112A4" w:rsidRPr="00F7190E">
        <w:rPr>
          <w:lang w:eastAsia="ru-RU"/>
        </w:rPr>
        <w:t xml:space="preserve"> годы</w:t>
      </w:r>
      <w:r w:rsidRPr="00F7190E">
        <w:rPr>
          <w:lang w:eastAsia="ru-RU"/>
        </w:rPr>
        <w:t xml:space="preserve">» 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="00E757D0" w:rsidRPr="002405D3">
        <w:rPr>
          <w:u w:val="single"/>
          <w:lang w:eastAsia="ru-RU"/>
        </w:rPr>
        <w:t>20</w:t>
      </w:r>
      <w:r w:rsidR="00AC2D3E" w:rsidRPr="002405D3">
        <w:rPr>
          <w:u w:val="single"/>
          <w:lang w:eastAsia="ru-RU"/>
        </w:rPr>
        <w:t>21</w:t>
      </w:r>
      <w:r w:rsidR="00E757D0" w:rsidRPr="002405D3">
        <w:rPr>
          <w:u w:val="single"/>
          <w:lang w:eastAsia="ru-RU"/>
        </w:rPr>
        <w:t>-202</w:t>
      </w:r>
      <w:r w:rsidR="00AC2D3E" w:rsidRPr="002405D3">
        <w:rPr>
          <w:u w:val="single"/>
          <w:lang w:eastAsia="ru-RU"/>
        </w:rPr>
        <w:t>5</w:t>
      </w:r>
      <w:r w:rsidRPr="002405D3">
        <w:rPr>
          <w:lang w:eastAsia="ru-RU"/>
        </w:rPr>
        <w:t xml:space="preserve"> годы)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Список изменяющих документов</w:t>
      </w:r>
    </w:p>
    <w:p w:rsidR="00D76426" w:rsidRPr="00850A51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proofErr w:type="gramStart"/>
      <w:r w:rsidRPr="00E757D0">
        <w:rPr>
          <w:lang w:eastAsia="ru-RU"/>
        </w:rPr>
        <w:t>(в ред. постановлени</w:t>
      </w:r>
      <w:r>
        <w:rPr>
          <w:lang w:eastAsia="ru-RU"/>
        </w:rPr>
        <w:t>я</w:t>
      </w:r>
      <w:r w:rsidRPr="00E757D0">
        <w:rPr>
          <w:lang w:eastAsia="ru-RU"/>
        </w:rPr>
        <w:t xml:space="preserve"> </w:t>
      </w:r>
      <w:r w:rsidRPr="002070AC">
        <w:rPr>
          <w:lang w:eastAsia="ru-RU"/>
        </w:rPr>
        <w:t>администрации Навлинского района Брянской области</w:t>
      </w:r>
      <w:r w:rsidRPr="002070AC">
        <w:rPr>
          <w:sz w:val="18"/>
          <w:szCs w:val="18"/>
          <w:lang w:eastAsia="ru-RU"/>
        </w:rPr>
        <w:t xml:space="preserve">   </w:t>
      </w:r>
      <w:r w:rsidRPr="00850A51">
        <w:rPr>
          <w:sz w:val="18"/>
          <w:szCs w:val="18"/>
          <w:lang w:eastAsia="ru-RU"/>
        </w:rPr>
        <w:t xml:space="preserve">                </w:t>
      </w:r>
      <w:proofErr w:type="gramEnd"/>
    </w:p>
    <w:p w:rsidR="00850A51" w:rsidRPr="00BE3102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27A1D">
        <w:rPr>
          <w:lang w:eastAsia="ru-RU"/>
        </w:rPr>
        <w:t xml:space="preserve">от </w:t>
      </w:r>
      <w:r w:rsidRPr="00BE3102">
        <w:rPr>
          <w:lang w:eastAsia="ru-RU"/>
        </w:rPr>
        <w:t>«</w:t>
      </w:r>
      <w:r w:rsidR="007F7E76">
        <w:rPr>
          <w:lang w:eastAsia="ru-RU"/>
        </w:rPr>
        <w:t>01</w:t>
      </w:r>
      <w:r w:rsidRPr="00BE3102">
        <w:rPr>
          <w:lang w:eastAsia="ru-RU"/>
        </w:rPr>
        <w:t xml:space="preserve">»  </w:t>
      </w:r>
      <w:r w:rsidR="007F7E76">
        <w:rPr>
          <w:lang w:eastAsia="ru-RU"/>
        </w:rPr>
        <w:t>декабря</w:t>
      </w:r>
      <w:r w:rsidRPr="00BE3102">
        <w:rPr>
          <w:lang w:eastAsia="ru-RU"/>
        </w:rPr>
        <w:t xml:space="preserve">  2021 г. № </w:t>
      </w:r>
      <w:r w:rsidR="007F7E76">
        <w:rPr>
          <w:lang w:eastAsia="ru-RU"/>
        </w:rPr>
        <w:t>732</w:t>
      </w:r>
      <w:r w:rsidRPr="00BE3102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bookmarkStart w:id="0" w:name="_GoBack"/>
      <w:bookmarkEnd w:id="0"/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355EF" w:rsidRPr="00F7190E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«</w:t>
      </w:r>
      <w:r w:rsidRPr="002405D3">
        <w:rPr>
          <w:rFonts w:ascii="Times New Roman" w:hAnsi="Times New Roman" w:cs="Times New Roman"/>
          <w:sz w:val="24"/>
          <w:szCs w:val="24"/>
          <w:lang w:eastAsia="ru-RU"/>
        </w:rPr>
        <w:t xml:space="preserve">Энергосбережение и повышение энергетической эффективности в Навлинском </w:t>
      </w:r>
      <w:r w:rsidR="00545AFE" w:rsidRPr="002405D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2405D3">
        <w:rPr>
          <w:rFonts w:ascii="Times New Roman" w:hAnsi="Times New Roman" w:cs="Times New Roman"/>
          <w:sz w:val="24"/>
          <w:szCs w:val="24"/>
          <w:lang w:eastAsia="ru-RU"/>
        </w:rPr>
        <w:t>районе</w:t>
      </w:r>
      <w:r w:rsidRPr="002405D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7190E">
        <w:rPr>
          <w:rFonts w:ascii="Times New Roman" w:hAnsi="Times New Roman" w:cs="Times New Roman"/>
          <w:sz w:val="24"/>
          <w:szCs w:val="24"/>
          <w:lang w:eastAsia="ru-RU"/>
        </w:rPr>
        <w:t>Брянской области на период  20</w:t>
      </w:r>
      <w:r w:rsidR="00AC2D3E" w:rsidRPr="00F7190E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F7190E">
        <w:rPr>
          <w:rFonts w:ascii="Times New Roman" w:hAnsi="Times New Roman" w:cs="Times New Roman"/>
          <w:sz w:val="24"/>
          <w:szCs w:val="24"/>
          <w:lang w:eastAsia="ru-RU"/>
        </w:rPr>
        <w:t xml:space="preserve"> –  20</w:t>
      </w:r>
      <w:r w:rsidR="00C112A4" w:rsidRPr="00F7190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2D3E" w:rsidRPr="00F7190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7190E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Pr="00F7190E">
        <w:rPr>
          <w:rFonts w:ascii="Times New Roman" w:hAnsi="Times New Roman" w:cs="Times New Roman"/>
          <w:sz w:val="24"/>
          <w:szCs w:val="24"/>
        </w:rPr>
        <w:t>»</w:t>
      </w:r>
    </w:p>
    <w:p w:rsidR="00D355EF" w:rsidRPr="002405D3" w:rsidRDefault="00D355EF" w:rsidP="00D355EF">
      <w:pPr>
        <w:pStyle w:val="ConsPlusTitle"/>
        <w:jc w:val="center"/>
        <w:rPr>
          <w:rFonts w:ascii="Times New Roman" w:hAnsi="Times New Roman"/>
          <w:b w:val="0"/>
          <w:sz w:val="18"/>
          <w:szCs w:val="18"/>
        </w:rPr>
      </w:pPr>
      <w:r w:rsidRPr="002405D3">
        <w:rPr>
          <w:rFonts w:ascii="Times New Roman" w:hAnsi="Times New Roman"/>
          <w:b w:val="0"/>
          <w:sz w:val="18"/>
          <w:szCs w:val="18"/>
        </w:rPr>
        <w:t>(наименование муниципальной программы)</w:t>
      </w:r>
    </w:p>
    <w:p w:rsidR="00D355EF" w:rsidRPr="002405D3" w:rsidRDefault="00D355EF" w:rsidP="00D355EF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Pr="002405D3">
        <w:rPr>
          <w:u w:val="single"/>
          <w:lang w:eastAsia="ru-RU"/>
        </w:rPr>
        <w:t>20</w:t>
      </w:r>
      <w:r w:rsidR="00AC2D3E" w:rsidRPr="002405D3">
        <w:rPr>
          <w:u w:val="single"/>
          <w:lang w:eastAsia="ru-RU"/>
        </w:rPr>
        <w:t>21</w:t>
      </w:r>
      <w:r w:rsidRPr="002405D3">
        <w:rPr>
          <w:u w:val="single"/>
          <w:lang w:eastAsia="ru-RU"/>
        </w:rPr>
        <w:t>-202</w:t>
      </w:r>
      <w:r w:rsidR="00AC2D3E" w:rsidRPr="002405D3">
        <w:rPr>
          <w:u w:val="single"/>
          <w:lang w:eastAsia="ru-RU"/>
        </w:rPr>
        <w:t>5</w:t>
      </w:r>
      <w:r w:rsidRPr="002405D3">
        <w:rPr>
          <w:lang w:eastAsia="ru-RU"/>
        </w:rPr>
        <w:t xml:space="preserve"> годы)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405D3">
        <w:rPr>
          <w:rFonts w:ascii="Times New Roman" w:hAnsi="Times New Roman" w:cs="Times New Roman"/>
          <w:sz w:val="18"/>
          <w:szCs w:val="18"/>
        </w:rPr>
        <w:t xml:space="preserve"> (период реализации муниципальной программы)</w:t>
      </w:r>
    </w:p>
    <w:p w:rsidR="00E63EFB" w:rsidRPr="002405D3" w:rsidRDefault="00E63EFB" w:rsidP="00D355E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Цели муниципальной программы</w:t>
            </w:r>
          </w:p>
        </w:tc>
        <w:tc>
          <w:tcPr>
            <w:tcW w:w="3344" w:type="pct"/>
          </w:tcPr>
          <w:p w:rsidR="005D3FBE" w:rsidRPr="002405D3" w:rsidRDefault="005D3FBE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2405D3">
              <w:rPr>
                <w:sz w:val="20"/>
                <w:szCs w:val="20"/>
              </w:rPr>
              <w:t>1.Создание организационных основ для реализации системы мер по энергосбережению и повышению энергоэффективности;</w:t>
            </w:r>
          </w:p>
          <w:p w:rsidR="00D355EF" w:rsidRPr="002405D3" w:rsidRDefault="001E1EF7" w:rsidP="001E1EF7">
            <w:pPr>
              <w:jc w:val="both"/>
              <w:rPr>
                <w:sz w:val="20"/>
                <w:szCs w:val="20"/>
              </w:rPr>
            </w:pPr>
            <w:r w:rsidRPr="002405D3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Задачи муниципальной программы</w:t>
            </w:r>
          </w:p>
        </w:tc>
        <w:tc>
          <w:tcPr>
            <w:tcW w:w="3344" w:type="pct"/>
          </w:tcPr>
          <w:p w:rsidR="001E1EF7" w:rsidRPr="002405D3" w:rsidRDefault="001E1EF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1.Проведение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образования.</w:t>
            </w:r>
          </w:p>
          <w:p w:rsidR="00DC5026" w:rsidRPr="002405D3" w:rsidRDefault="00DC5026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2.Разработка и реализация мероприятий направленных на энергосбережение и повышение энергетической эффективности учреждений</w:t>
            </w:r>
            <w:r w:rsidR="00962779">
              <w:rPr>
                <w:rFonts w:ascii="Times New Roman" w:hAnsi="Times New Roman"/>
                <w:b w:val="0"/>
              </w:rPr>
              <w:t>;</w:t>
            </w:r>
          </w:p>
          <w:p w:rsidR="00D355EF" w:rsidRPr="002405D3" w:rsidRDefault="00DC5026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3</w:t>
            </w:r>
            <w:r w:rsidR="001E1EF7" w:rsidRPr="002405D3">
              <w:rPr>
                <w:rFonts w:ascii="Times New Roman" w:hAnsi="Times New Roman"/>
                <w:b w:val="0"/>
              </w:rPr>
              <w:t>.Обеспечение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Этапы и 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2405D3" w:rsidRDefault="00E02E85" w:rsidP="00AC2D3E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AC2D3E" w:rsidRPr="002405D3">
              <w:rPr>
                <w:rFonts w:ascii="Times New Roman" w:hAnsi="Times New Roman"/>
                <w:b w:val="0"/>
              </w:rPr>
              <w:t>21</w:t>
            </w:r>
            <w:r w:rsidRPr="002405D3">
              <w:rPr>
                <w:rFonts w:ascii="Times New Roman" w:hAnsi="Times New Roman"/>
                <w:b w:val="0"/>
              </w:rPr>
              <w:t>-20</w:t>
            </w:r>
            <w:r w:rsidR="00AC2D3E" w:rsidRPr="002405D3">
              <w:rPr>
                <w:rFonts w:ascii="Times New Roman" w:hAnsi="Times New Roman"/>
                <w:b w:val="0"/>
              </w:rPr>
              <w:t>25</w:t>
            </w:r>
            <w:r w:rsidRPr="002405D3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2405D3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Объем бюджетных ассигнований на реализацию </w:t>
            </w:r>
            <w:r w:rsidR="00391959" w:rsidRPr="002405D3">
              <w:rPr>
                <w:rFonts w:ascii="Times New Roman" w:hAnsi="Times New Roman"/>
                <w:b w:val="0"/>
              </w:rPr>
              <w:t>муниципальной</w:t>
            </w:r>
            <w:r w:rsidRPr="002405D3">
              <w:rPr>
                <w:rFonts w:ascii="Times New Roman" w:hAnsi="Times New Roman"/>
                <w:b w:val="0"/>
              </w:rPr>
              <w:t xml:space="preserve"> программы</w:t>
            </w:r>
          </w:p>
        </w:tc>
        <w:tc>
          <w:tcPr>
            <w:tcW w:w="3344" w:type="pct"/>
          </w:tcPr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Всего до 202</w:t>
            </w:r>
            <w:r w:rsidR="00A25C77" w:rsidRPr="002405D3">
              <w:rPr>
                <w:rFonts w:ascii="Times New Roman" w:hAnsi="Times New Roman"/>
                <w:b w:val="0"/>
              </w:rPr>
              <w:t>5</w:t>
            </w:r>
            <w:r w:rsidRPr="002405D3">
              <w:rPr>
                <w:rFonts w:ascii="Times New Roman" w:hAnsi="Times New Roman"/>
                <w:b w:val="0"/>
              </w:rPr>
              <w:t xml:space="preserve"> года  - </w:t>
            </w:r>
            <w:r w:rsidR="00A25C77" w:rsidRPr="002405D3">
              <w:rPr>
                <w:rFonts w:ascii="Times New Roman" w:hAnsi="Times New Roman"/>
                <w:b w:val="0"/>
              </w:rPr>
              <w:t>12,</w:t>
            </w:r>
            <w:r w:rsidR="00827A1D">
              <w:rPr>
                <w:rFonts w:ascii="Times New Roman" w:hAnsi="Times New Roman"/>
                <w:b w:val="0"/>
              </w:rPr>
              <w:t>766</w:t>
            </w:r>
            <w:r w:rsidR="00AE6500" w:rsidRPr="002405D3">
              <w:rPr>
                <w:rFonts w:ascii="Times New Roman" w:hAnsi="Times New Roman"/>
                <w:b w:val="0"/>
              </w:rPr>
              <w:t xml:space="preserve">  млн. рублей, из них: 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- объем финансирования для бюджетных учреждений муниципального уровня района – </w:t>
            </w:r>
            <w:r w:rsidR="00C573E7" w:rsidRPr="002405D3">
              <w:rPr>
                <w:rFonts w:ascii="Times New Roman" w:hAnsi="Times New Roman"/>
                <w:b w:val="0"/>
              </w:rPr>
              <w:t>1,590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 – всего, в том числе:</w:t>
            </w:r>
          </w:p>
          <w:p w:rsidR="00E02E85" w:rsidRPr="00827A1D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</w:t>
            </w:r>
            <w:r w:rsidR="00C573E7" w:rsidRPr="00827A1D">
              <w:rPr>
                <w:rFonts w:ascii="Times New Roman" w:hAnsi="Times New Roman"/>
                <w:b w:val="0"/>
              </w:rPr>
              <w:t>21 год –</w:t>
            </w:r>
            <w:r w:rsidRPr="00827A1D">
              <w:rPr>
                <w:rFonts w:ascii="Times New Roman" w:hAnsi="Times New Roman"/>
                <w:b w:val="0"/>
              </w:rPr>
              <w:t xml:space="preserve"> </w:t>
            </w:r>
            <w:r w:rsidR="00C573E7" w:rsidRPr="00827A1D">
              <w:rPr>
                <w:rFonts w:ascii="Times New Roman" w:hAnsi="Times New Roman"/>
                <w:b w:val="0"/>
              </w:rPr>
              <w:t>0,530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22</w:t>
            </w:r>
            <w:r w:rsidRPr="002405D3">
              <w:rPr>
                <w:rFonts w:ascii="Times New Roman" w:hAnsi="Times New Roman"/>
                <w:b w:val="0"/>
              </w:rPr>
              <w:t xml:space="preserve"> год </w:t>
            </w:r>
            <w:r w:rsidR="00C573E7" w:rsidRPr="002405D3">
              <w:rPr>
                <w:rFonts w:ascii="Times New Roman" w:hAnsi="Times New Roman"/>
                <w:b w:val="0"/>
              </w:rPr>
              <w:t>–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r w:rsidR="00C573E7" w:rsidRPr="002405D3">
              <w:rPr>
                <w:rFonts w:ascii="Times New Roman" w:hAnsi="Times New Roman"/>
                <w:b w:val="0"/>
              </w:rPr>
              <w:t>0,530</w:t>
            </w:r>
            <w:r w:rsidR="0003084C" w:rsidRPr="002405D3">
              <w:rPr>
                <w:rFonts w:ascii="Times New Roman" w:hAnsi="Times New Roman"/>
                <w:b w:val="0"/>
              </w:rPr>
              <w:t xml:space="preserve"> </w:t>
            </w:r>
            <w:r w:rsidRPr="002405D3">
              <w:rPr>
                <w:rFonts w:ascii="Times New Roman" w:hAnsi="Times New Roman"/>
                <w:b w:val="0"/>
              </w:rPr>
              <w:t>млн. рублей;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23</w:t>
            </w:r>
            <w:r w:rsidRPr="002405D3">
              <w:rPr>
                <w:rFonts w:ascii="Times New Roman" w:hAnsi="Times New Roman"/>
                <w:b w:val="0"/>
              </w:rPr>
              <w:t xml:space="preserve"> год </w:t>
            </w:r>
            <w:r w:rsidR="00C573E7" w:rsidRPr="002405D3">
              <w:rPr>
                <w:rFonts w:ascii="Times New Roman" w:hAnsi="Times New Roman"/>
                <w:b w:val="0"/>
              </w:rPr>
              <w:t>–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r w:rsidR="00C573E7" w:rsidRPr="002405D3">
              <w:rPr>
                <w:rFonts w:ascii="Times New Roman" w:hAnsi="Times New Roman"/>
                <w:b w:val="0"/>
              </w:rPr>
              <w:t>0,530</w:t>
            </w:r>
            <w:r w:rsidR="0003084C" w:rsidRPr="002405D3">
              <w:rPr>
                <w:rFonts w:ascii="Times New Roman" w:hAnsi="Times New Roman"/>
                <w:b w:val="0"/>
              </w:rPr>
              <w:t xml:space="preserve"> </w:t>
            </w:r>
            <w:r w:rsidR="00C573E7" w:rsidRPr="002405D3">
              <w:rPr>
                <w:rFonts w:ascii="Times New Roman" w:hAnsi="Times New Roman"/>
                <w:b w:val="0"/>
              </w:rPr>
              <w:t>млн. рублей.</w:t>
            </w:r>
          </w:p>
          <w:p w:rsidR="00E02E85" w:rsidRPr="00827A1D" w:rsidRDefault="00E02E85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- </w:t>
            </w:r>
            <w:r w:rsidRPr="00827A1D">
              <w:rPr>
                <w:rFonts w:ascii="Times New Roman" w:hAnsi="Times New Roman"/>
                <w:b w:val="0"/>
              </w:rPr>
              <w:t xml:space="preserve">собственные средства управляющих компаний (МКД), ТСЖ, собственников квартир и домостроений – </w:t>
            </w:r>
            <w:r w:rsidR="00C573E7" w:rsidRPr="00827A1D">
              <w:rPr>
                <w:rFonts w:ascii="Times New Roman" w:hAnsi="Times New Roman"/>
                <w:b w:val="0"/>
              </w:rPr>
              <w:t>3,</w:t>
            </w:r>
            <w:r w:rsidR="00827A1D" w:rsidRPr="00827A1D">
              <w:rPr>
                <w:rFonts w:ascii="Times New Roman" w:hAnsi="Times New Roman"/>
                <w:b w:val="0"/>
              </w:rPr>
              <w:t>917</w:t>
            </w:r>
            <w:r w:rsidR="0067793C" w:rsidRPr="00827A1D">
              <w:rPr>
                <w:rFonts w:ascii="Times New Roman" w:hAnsi="Times New Roman"/>
                <w:b w:val="0"/>
              </w:rPr>
              <w:t xml:space="preserve"> 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 всего, в том числе:  </w:t>
            </w:r>
          </w:p>
          <w:p w:rsidR="007943CE" w:rsidRPr="00827A1D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2021 год – 0,</w:t>
            </w:r>
            <w:r w:rsidR="00827A1D" w:rsidRPr="00827A1D">
              <w:rPr>
                <w:rFonts w:ascii="Times New Roman" w:hAnsi="Times New Roman"/>
                <w:b w:val="0"/>
              </w:rPr>
              <w:t>917</w:t>
            </w:r>
            <w:r w:rsidR="007943CE"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27A1D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</w:t>
            </w:r>
            <w:r w:rsidR="00C573E7" w:rsidRPr="00827A1D">
              <w:rPr>
                <w:rFonts w:ascii="Times New Roman" w:hAnsi="Times New Roman"/>
                <w:b w:val="0"/>
              </w:rPr>
              <w:t>22</w:t>
            </w:r>
            <w:r w:rsidRPr="00827A1D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827A1D">
              <w:rPr>
                <w:rFonts w:ascii="Times New Roman" w:hAnsi="Times New Roman"/>
                <w:b w:val="0"/>
              </w:rPr>
              <w:t>0,750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27A1D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</w:t>
            </w:r>
            <w:r w:rsidR="00C573E7" w:rsidRPr="00827A1D">
              <w:rPr>
                <w:rFonts w:ascii="Times New Roman" w:hAnsi="Times New Roman"/>
                <w:b w:val="0"/>
              </w:rPr>
              <w:t>23</w:t>
            </w:r>
            <w:r w:rsidRPr="00827A1D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827A1D">
              <w:rPr>
                <w:rFonts w:ascii="Times New Roman" w:hAnsi="Times New Roman"/>
                <w:b w:val="0"/>
              </w:rPr>
              <w:t>0,750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827A1D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2024 год – 0,750 млн. рублей;</w:t>
            </w:r>
          </w:p>
          <w:p w:rsidR="008C3EA7" w:rsidRPr="00827A1D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202</w:t>
            </w:r>
            <w:r w:rsidR="00C573E7" w:rsidRPr="00827A1D">
              <w:rPr>
                <w:rFonts w:ascii="Times New Roman" w:hAnsi="Times New Roman"/>
                <w:b w:val="0"/>
              </w:rPr>
              <w:t>5</w:t>
            </w:r>
            <w:r w:rsidRPr="00827A1D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827A1D">
              <w:rPr>
                <w:rFonts w:ascii="Times New Roman" w:hAnsi="Times New Roman"/>
                <w:b w:val="0"/>
              </w:rPr>
              <w:t>0,750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рублей.</w:t>
            </w:r>
          </w:p>
          <w:p w:rsidR="00E02E85" w:rsidRPr="00827A1D" w:rsidRDefault="00E02E85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 xml:space="preserve">- собственные средства муниципальных предприятий осуществляющих регулируемые виды деятельности </w:t>
            </w:r>
            <w:r w:rsidR="00C573E7" w:rsidRPr="00827A1D">
              <w:rPr>
                <w:rFonts w:ascii="Times New Roman" w:hAnsi="Times New Roman"/>
                <w:b w:val="0"/>
              </w:rPr>
              <w:t>–</w:t>
            </w:r>
            <w:r w:rsidRPr="00827A1D">
              <w:rPr>
                <w:rFonts w:ascii="Times New Roman" w:hAnsi="Times New Roman"/>
                <w:b w:val="0"/>
              </w:rPr>
              <w:t xml:space="preserve"> </w:t>
            </w:r>
            <w:r w:rsidR="00A25C77" w:rsidRPr="00827A1D">
              <w:rPr>
                <w:rFonts w:ascii="Times New Roman" w:hAnsi="Times New Roman"/>
                <w:b w:val="0"/>
              </w:rPr>
              <w:t>7,259</w:t>
            </w:r>
            <w:r w:rsidR="00EF0679" w:rsidRPr="00827A1D">
              <w:rPr>
                <w:rFonts w:ascii="Times New Roman" w:hAnsi="Times New Roman"/>
                <w:b w:val="0"/>
              </w:rPr>
              <w:t xml:space="preserve"> </w:t>
            </w:r>
            <w:r w:rsidRPr="00827A1D">
              <w:rPr>
                <w:rFonts w:ascii="Times New Roman" w:hAnsi="Times New Roman"/>
                <w:b w:val="0"/>
              </w:rPr>
              <w:t xml:space="preserve">млн.  рублей всего, в том числе:  </w:t>
            </w:r>
          </w:p>
          <w:p w:rsidR="007943CE" w:rsidRPr="00827A1D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 xml:space="preserve">2021 год - </w:t>
            </w:r>
            <w:r w:rsidR="007943CE" w:rsidRPr="00827A1D">
              <w:rPr>
                <w:rFonts w:ascii="Times New Roman" w:hAnsi="Times New Roman"/>
                <w:b w:val="0"/>
              </w:rPr>
              <w:t xml:space="preserve"> </w:t>
            </w:r>
            <w:r w:rsidRPr="00827A1D">
              <w:rPr>
                <w:rFonts w:ascii="Times New Roman" w:hAnsi="Times New Roman"/>
                <w:b w:val="0"/>
              </w:rPr>
              <w:t>1,217</w:t>
            </w:r>
            <w:r w:rsidR="007943CE"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2405D3" w:rsidRDefault="008C3EA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</w:t>
            </w:r>
            <w:r w:rsidR="00C573E7" w:rsidRPr="00827A1D">
              <w:rPr>
                <w:rFonts w:ascii="Times New Roman" w:hAnsi="Times New Roman"/>
                <w:b w:val="0"/>
              </w:rPr>
              <w:t>22</w:t>
            </w:r>
            <w:r w:rsidRPr="00827A1D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827A1D">
              <w:rPr>
                <w:rFonts w:ascii="Times New Roman" w:hAnsi="Times New Roman"/>
                <w:b w:val="0"/>
              </w:rPr>
              <w:t>1,921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2405D3" w:rsidRDefault="008C3EA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C573E7" w:rsidRPr="002405D3">
              <w:rPr>
                <w:rFonts w:ascii="Times New Roman" w:hAnsi="Times New Roman"/>
                <w:b w:val="0"/>
              </w:rPr>
              <w:t>23</w:t>
            </w:r>
            <w:r w:rsidRPr="002405D3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2405D3">
              <w:rPr>
                <w:rFonts w:ascii="Times New Roman" w:hAnsi="Times New Roman"/>
                <w:b w:val="0"/>
              </w:rPr>
              <w:t>1,360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2405D3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2024 год – 1,321 млн. рублей;</w:t>
            </w:r>
          </w:p>
          <w:p w:rsidR="008C3EA7" w:rsidRPr="002405D3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202</w:t>
            </w:r>
            <w:r w:rsidR="00C573E7" w:rsidRPr="002405D3">
              <w:rPr>
                <w:rFonts w:ascii="Times New Roman" w:hAnsi="Times New Roman"/>
                <w:b w:val="0"/>
              </w:rPr>
              <w:t>5</w:t>
            </w:r>
            <w:r w:rsidRPr="002405D3">
              <w:rPr>
                <w:rFonts w:ascii="Times New Roman" w:hAnsi="Times New Roman"/>
                <w:b w:val="0"/>
              </w:rPr>
              <w:t xml:space="preserve"> год – </w:t>
            </w:r>
            <w:r w:rsidR="00C573E7" w:rsidRPr="002405D3">
              <w:rPr>
                <w:rFonts w:ascii="Times New Roman" w:hAnsi="Times New Roman"/>
                <w:b w:val="0"/>
              </w:rPr>
              <w:t>1,440</w:t>
            </w:r>
            <w:r w:rsidRPr="002405D3">
              <w:rPr>
                <w:rFonts w:ascii="Times New Roman" w:hAnsi="Times New Roman"/>
                <w:b w:val="0"/>
              </w:rPr>
              <w:t xml:space="preserve"> млн. рублей</w:t>
            </w:r>
            <w:r w:rsidR="00E02E85" w:rsidRPr="002405D3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</w:t>
            </w:r>
          </w:p>
        </w:tc>
        <w:tc>
          <w:tcPr>
            <w:tcW w:w="3344" w:type="pct"/>
          </w:tcPr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</w:t>
            </w:r>
            <w:r w:rsidR="001E1EF7" w:rsidRPr="002405D3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</w:t>
            </w:r>
            <w:r w:rsidR="001E1EF7" w:rsidRPr="002405D3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Важнейшие индикаторы и показатели, позволяющие оценить ход реализации Программы: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2405D3">
              <w:rPr>
                <w:rFonts w:ascii="Times New Roman" w:hAnsi="Times New Roman"/>
                <w:b w:val="0"/>
              </w:rPr>
              <w:t>и воды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2405D3">
              <w:rPr>
                <w:rFonts w:ascii="Times New Roman" w:hAnsi="Times New Roman"/>
                <w:b w:val="0"/>
              </w:rPr>
              <w:t>расчеты</w:t>
            </w:r>
            <w:proofErr w:type="gramEnd"/>
            <w:r w:rsidRPr="002405D3">
              <w:rPr>
                <w:rFonts w:ascii="Times New Roman" w:hAnsi="Times New Roman"/>
                <w:b w:val="0"/>
              </w:rPr>
              <w:t xml:space="preserve">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1E1EF7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2405D3">
              <w:rPr>
                <w:rFonts w:ascii="Times New Roman" w:hAnsi="Times New Roman"/>
                <w:b w:val="0"/>
              </w:rPr>
              <w:t xml:space="preserve">и воды </w:t>
            </w:r>
            <w:r w:rsidRPr="002405D3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9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</w:t>
      </w:r>
      <w:proofErr w:type="gramEnd"/>
      <w:r w:rsidRPr="002405D3">
        <w:rPr>
          <w:rFonts w:eastAsiaTheme="minorHAnsi"/>
          <w:sz w:val="20"/>
          <w:szCs w:val="20"/>
          <w:lang w:eastAsia="en-US"/>
        </w:rPr>
        <w:t xml:space="preserve">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Высокая энергоемкость учреждений и организаций в этих условиях может стать причиной </w:t>
      </w:r>
      <w:proofErr w:type="gramStart"/>
      <w:r w:rsidRPr="002405D3">
        <w:rPr>
          <w:sz w:val="20"/>
          <w:szCs w:val="20"/>
        </w:rPr>
        <w:t>снижения темпов роста экономики муниципального образования</w:t>
      </w:r>
      <w:proofErr w:type="gramEnd"/>
      <w:r w:rsidRPr="002405D3">
        <w:rPr>
          <w:sz w:val="20"/>
          <w:szCs w:val="20"/>
        </w:rPr>
        <w:t xml:space="preserve">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>азработка и реализация мероприятий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2405D3" w:rsidRDefault="000E67FA" w:rsidP="000E67FA">
      <w:pPr>
        <w:ind w:firstLine="426"/>
        <w:jc w:val="both"/>
      </w:pPr>
      <w:r>
        <w:rPr>
          <w:sz w:val="20"/>
          <w:szCs w:val="20"/>
        </w:rPr>
        <w:t xml:space="preserve">Настоящая программа разработана в соответствии с требованиями </w:t>
      </w:r>
      <w:r w:rsidR="001F35EA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остановления Правительства РФ от </w:t>
      </w:r>
      <w:r>
        <w:rPr>
          <w:sz w:val="20"/>
          <w:szCs w:val="20"/>
        </w:rPr>
        <w:t>11</w:t>
      </w:r>
      <w:r w:rsidRPr="002405D3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2405D3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2405D3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161</w:t>
      </w:r>
      <w:r w:rsidRPr="002405D3">
        <w:rPr>
          <w:sz w:val="20"/>
          <w:szCs w:val="20"/>
        </w:rPr>
        <w:t xml:space="preserve"> «</w:t>
      </w:r>
      <w:r w:rsidRPr="00185EE9">
        <w:rPr>
          <w:sz w:val="20"/>
          <w:szCs w:val="20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2405D3">
        <w:rPr>
          <w:sz w:val="20"/>
          <w:szCs w:val="20"/>
        </w:rPr>
        <w:t>»</w:t>
      </w:r>
      <w:r>
        <w:rPr>
          <w:sz w:val="20"/>
          <w:szCs w:val="20"/>
        </w:rPr>
        <w:t>.</w:t>
      </w:r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Комплекс мероприятий реализуемых в рамках </w:t>
      </w:r>
      <w:r w:rsidRPr="002405D3">
        <w:rPr>
          <w:sz w:val="20"/>
          <w:szCs w:val="20"/>
        </w:rPr>
        <w:t>Программ</w:t>
      </w:r>
      <w:r>
        <w:rPr>
          <w:sz w:val="20"/>
          <w:szCs w:val="20"/>
        </w:rPr>
        <w:t>ы</w:t>
      </w:r>
      <w:r w:rsidRPr="002405D3">
        <w:rPr>
          <w:sz w:val="20"/>
          <w:szCs w:val="20"/>
        </w:rPr>
        <w:t xml:space="preserve"> охватывает три  группы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</w:t>
      </w:r>
      <w:r>
        <w:rPr>
          <w:sz w:val="20"/>
          <w:szCs w:val="20"/>
        </w:rPr>
        <w:t xml:space="preserve"> </w:t>
      </w:r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рамках Программы обеспечена</w:t>
      </w:r>
      <w:r w:rsidRPr="000E67FA">
        <w:rPr>
          <w:sz w:val="20"/>
          <w:szCs w:val="20"/>
        </w:rPr>
        <w:t xml:space="preserve"> увязка </w:t>
      </w:r>
      <w:r>
        <w:rPr>
          <w:sz w:val="20"/>
          <w:szCs w:val="20"/>
        </w:rPr>
        <w:t xml:space="preserve">мероприятий в соответствии </w:t>
      </w:r>
      <w:r w:rsidRPr="000E67FA">
        <w:rPr>
          <w:sz w:val="20"/>
          <w:szCs w:val="20"/>
        </w:rPr>
        <w:t>с действующ</w:t>
      </w:r>
      <w:r w:rsidR="002E0B34">
        <w:rPr>
          <w:sz w:val="20"/>
          <w:szCs w:val="20"/>
        </w:rPr>
        <w:t>им</w:t>
      </w:r>
      <w:r w:rsidRPr="000E67FA">
        <w:rPr>
          <w:sz w:val="20"/>
          <w:szCs w:val="20"/>
        </w:rPr>
        <w:t xml:space="preserve"> на уровне субъект</w:t>
      </w:r>
      <w:r w:rsidR="002E0B34">
        <w:rPr>
          <w:sz w:val="20"/>
          <w:szCs w:val="20"/>
        </w:rPr>
        <w:t>а</w:t>
      </w:r>
      <w:r w:rsidRPr="000E67FA">
        <w:rPr>
          <w:sz w:val="20"/>
          <w:szCs w:val="20"/>
        </w:rPr>
        <w:t xml:space="preserve"> </w:t>
      </w:r>
      <w:r w:rsidR="002E0B34">
        <w:rPr>
          <w:sz w:val="20"/>
          <w:szCs w:val="20"/>
        </w:rPr>
        <w:t xml:space="preserve">краткосрочным (2020-2022 годы) планом реализации </w:t>
      </w:r>
      <w:r w:rsidR="002E0B34" w:rsidRPr="002E0B34">
        <w:rPr>
          <w:sz w:val="20"/>
          <w:szCs w:val="20"/>
        </w:rPr>
        <w:t>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утвержденный постановлением Правительства Брянской области от 22 апреля 20</w:t>
      </w:r>
      <w:r w:rsidR="002E0B34">
        <w:rPr>
          <w:sz w:val="20"/>
          <w:szCs w:val="20"/>
        </w:rPr>
        <w:t xml:space="preserve">19 года № 165-п «Об утверждении </w:t>
      </w:r>
      <w:r w:rsidR="002E0B34" w:rsidRPr="002E0B34">
        <w:rPr>
          <w:sz w:val="20"/>
          <w:szCs w:val="20"/>
        </w:rPr>
        <w:t>краткосрочного (2020 – 2022 годы) плана реализации региональной программы «Проведение капитального ремонта общего имущества</w:t>
      </w:r>
      <w:proofErr w:type="gramEnd"/>
      <w:r w:rsidR="002E0B34" w:rsidRPr="002E0B34">
        <w:rPr>
          <w:sz w:val="20"/>
          <w:szCs w:val="20"/>
        </w:rPr>
        <w:t xml:space="preserve"> многоквартирных домов на территории Брянской области» (2014 – 2043 годы)»</w:t>
      </w:r>
      <w:r w:rsidR="002E0B34">
        <w:rPr>
          <w:sz w:val="20"/>
          <w:szCs w:val="20"/>
        </w:rPr>
        <w:t>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</w:t>
      </w:r>
      <w:proofErr w:type="gramStart"/>
      <w:r w:rsidRPr="002405D3">
        <w:rPr>
          <w:sz w:val="20"/>
          <w:szCs w:val="20"/>
        </w:rPr>
        <w:t>муниципальных предприятиях, осуществляющих регулируемые виды деятельности по состоянию на 01.07.2020 года указаны</w:t>
      </w:r>
      <w:proofErr w:type="gramEnd"/>
      <w:r w:rsidRPr="002405D3">
        <w:rPr>
          <w:sz w:val="20"/>
          <w:szCs w:val="20"/>
        </w:rPr>
        <w:t xml:space="preserve">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деревня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Зубовка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ул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Вяльцевой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 к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Ревны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Навля,ул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индивидуальным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 xml:space="preserve">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Расчет (стр.10.2 +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площ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. домов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использ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п</w:t>
            </w:r>
            <w:proofErr w:type="gramEnd"/>
            <w:r w:rsidRPr="008D6ADF">
              <w:rPr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Дмитрия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Емлютина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Дмитрия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Емлютина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ул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ул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ул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ул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Синезерки, ул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Клюковники, ул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2405D3">
        <w:rPr>
          <w:sz w:val="20"/>
          <w:szCs w:val="20"/>
        </w:rPr>
        <w:t>.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</w:t>
      </w:r>
      <w:r w:rsidRPr="002405D3">
        <w:rPr>
          <w:b/>
          <w:sz w:val="20"/>
          <w:szCs w:val="20"/>
        </w:rPr>
        <w:t xml:space="preserve">. </w:t>
      </w:r>
      <w:r w:rsidRPr="002405D3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2405D3">
        <w:rPr>
          <w:b/>
          <w:sz w:val="20"/>
          <w:szCs w:val="20"/>
        </w:rPr>
        <w:t>й</w:t>
      </w:r>
    </w:p>
    <w:p w:rsidR="00DD6C24" w:rsidRPr="002405D3" w:rsidRDefault="00BB0B57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3</w:t>
      </w:r>
      <w:r w:rsidR="00DF6816" w:rsidRPr="002405D3">
        <w:rPr>
          <w:sz w:val="20"/>
          <w:szCs w:val="20"/>
        </w:rPr>
        <w:t xml:space="preserve">. </w:t>
      </w:r>
      <w:r w:rsidR="00DD6C24" w:rsidRPr="002405D3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2405D3" w:rsidRDefault="00B81708" w:rsidP="00392BC3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2405D3" w:rsidRDefault="00F34B0D" w:rsidP="00C11D56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3. Сроки реализации Программы</w:t>
      </w:r>
    </w:p>
    <w:p w:rsidR="00F34B0D" w:rsidRPr="002405D3" w:rsidRDefault="00F34B0D" w:rsidP="00C11D56">
      <w:pPr>
        <w:jc w:val="both"/>
        <w:rPr>
          <w:b/>
          <w:sz w:val="20"/>
          <w:szCs w:val="20"/>
        </w:rPr>
      </w:pP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Программа рассчитана на 20</w:t>
      </w:r>
      <w:r w:rsidR="00910515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</w:t>
      </w:r>
      <w:r w:rsidR="00910515" w:rsidRPr="002405D3">
        <w:rPr>
          <w:sz w:val="20"/>
          <w:szCs w:val="20"/>
        </w:rPr>
        <w:t>25</w:t>
      </w:r>
      <w:r w:rsidRPr="002405D3">
        <w:rPr>
          <w:sz w:val="20"/>
          <w:szCs w:val="20"/>
        </w:rPr>
        <w:t xml:space="preserve"> годы.</w:t>
      </w: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соответствии с объемом бюджетного финансирования и финансирования за счет сре</w:t>
      </w:r>
      <w:proofErr w:type="gramStart"/>
      <w:r w:rsidRPr="002405D3">
        <w:rPr>
          <w:sz w:val="20"/>
          <w:szCs w:val="20"/>
        </w:rPr>
        <w:t>дств  др</w:t>
      </w:r>
      <w:proofErr w:type="gramEnd"/>
      <w:r w:rsidRPr="002405D3">
        <w:rPr>
          <w:sz w:val="20"/>
          <w:szCs w:val="20"/>
        </w:rPr>
        <w:t>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2405D3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2405D3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 Ресурсное обеспечение реа</w:t>
      </w:r>
      <w:r w:rsidR="000418BF" w:rsidRPr="002405D3">
        <w:rPr>
          <w:b/>
          <w:sz w:val="20"/>
          <w:szCs w:val="20"/>
        </w:rPr>
        <w:t>лизации муниципальной программы</w:t>
      </w:r>
    </w:p>
    <w:p w:rsidR="004F3270" w:rsidRPr="002405D3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>к муниципальной программе «Энергосбережение и повышение энергетической эффективности в Навлинском районе Брянской области на период 2021-2025 годы».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4D71AA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E8206B">
              <w:rPr>
                <w:color w:val="000000"/>
                <w:sz w:val="12"/>
                <w:szCs w:val="12"/>
                <w:lang w:eastAsia="ru-RU"/>
              </w:rPr>
              <w:t>с</w:t>
            </w:r>
            <w:proofErr w:type="gramStart"/>
            <w:r w:rsidRPr="00E8206B">
              <w:rPr>
                <w:color w:val="000000"/>
                <w:sz w:val="12"/>
                <w:szCs w:val="12"/>
                <w:lang w:eastAsia="ru-RU"/>
              </w:rPr>
              <w:t>.Б</w:t>
            </w:r>
            <w:proofErr w:type="gramEnd"/>
            <w:r w:rsidRPr="00E8206B">
              <w:rPr>
                <w:color w:val="000000"/>
                <w:sz w:val="12"/>
                <w:szCs w:val="12"/>
                <w:lang w:eastAsia="ru-RU"/>
              </w:rPr>
              <w:t>яково</w:t>
            </w:r>
            <w:proofErr w:type="spellEnd"/>
            <w:r w:rsidRPr="00E8206B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 xml:space="preserve">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2405D3">
        <w:rPr>
          <w:sz w:val="20"/>
          <w:szCs w:val="20"/>
        </w:rPr>
        <w:t>ресурсов</w:t>
      </w:r>
      <w:proofErr w:type="gramEnd"/>
      <w:r w:rsidRPr="002405D3">
        <w:rPr>
          <w:sz w:val="20"/>
          <w:szCs w:val="20"/>
        </w:rPr>
        <w:t xml:space="preserve">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>Мероприятия по энергосбережению в жилищном фонде Навлинского муниципального района указаны в таблице 3 приложения 1 к муниципальной программе «Энергосбереж</w:t>
      </w:r>
      <w:r w:rsidR="00F65C3F" w:rsidRPr="002405D3">
        <w:rPr>
          <w:sz w:val="20"/>
          <w:szCs w:val="20"/>
        </w:rPr>
        <w:t xml:space="preserve">ение и повышение энергетической </w:t>
      </w:r>
      <w:r w:rsidRPr="002405D3">
        <w:rPr>
          <w:sz w:val="20"/>
          <w:szCs w:val="20"/>
        </w:rPr>
        <w:t>эффективности в Навлинском районе Брянской области на период 2021-2025 годы».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E248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E248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F279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F279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proofErr w:type="gramStart"/>
      <w:r w:rsidRPr="002405D3">
        <w:rPr>
          <w:b/>
          <w:sz w:val="20"/>
          <w:szCs w:val="20"/>
        </w:rPr>
        <w:t>осуществляющих</w:t>
      </w:r>
      <w:proofErr w:type="gramEnd"/>
      <w:r w:rsidRPr="002405D3">
        <w:rPr>
          <w:b/>
          <w:sz w:val="20"/>
          <w:szCs w:val="20"/>
        </w:rPr>
        <w:t xml:space="preserve"> регулируемые виды деятельности</w:t>
      </w: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       На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муниципальной программе «Энергосбережение и повышение энергетической эффективности в Навлинском районе Брянской области на период 2021-2025 годы».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5. Основные меры правового регулирования, направленные на достижение целей и решение задач муниципальной программы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муниципальной программы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Основные меры правового регулирования, направленные на достижение целей и решение задач муниципальной программы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6. Ожидаемые результаты реализации муниципальной программы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2405D3" w:rsidRDefault="004066A7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proofErr w:type="gramEnd"/>
      <w:r w:rsidRPr="002405D3">
        <w:rPr>
          <w:sz w:val="20"/>
          <w:szCs w:val="20"/>
        </w:rPr>
        <w:t xml:space="preserve">" определили основные направления государственной политики в сфере повышения энергетической эффективности учреждений. </w:t>
      </w:r>
      <w:proofErr w:type="gramStart"/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</w:t>
      </w:r>
      <w:proofErr w:type="gramEnd"/>
      <w:r w:rsidR="008A1B82" w:rsidRPr="002405D3">
        <w:rPr>
          <w:sz w:val="20"/>
          <w:szCs w:val="20"/>
        </w:rPr>
        <w:t xml:space="preserve"> организациям. Базовым годом, по </w:t>
      </w:r>
      <w:proofErr w:type="gramStart"/>
      <w:r w:rsidR="008A1B82" w:rsidRPr="002405D3">
        <w:rPr>
          <w:sz w:val="20"/>
          <w:szCs w:val="20"/>
        </w:rPr>
        <w:t>отношению</w:t>
      </w:r>
      <w:proofErr w:type="gramEnd"/>
      <w:r w:rsidR="008A1B82" w:rsidRPr="002405D3">
        <w:rPr>
          <w:sz w:val="20"/>
          <w:szCs w:val="20"/>
        </w:rP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2405D3" w:rsidRDefault="006D0A8C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>Р</w:t>
      </w:r>
      <w:r w:rsidR="008A1B82" w:rsidRPr="002405D3">
        <w:rPr>
          <w:sz w:val="20"/>
          <w:szCs w:val="20"/>
        </w:rPr>
        <w:t xml:space="preserve">асчет целевых показателей муниципальной программы произведен в соответствии с установленными целевыми уровнями </w:t>
      </w:r>
      <w:r w:rsidRPr="002405D3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2023 годы в сопоставимых условиях</w:t>
      </w:r>
      <w:r w:rsidR="008A1B82" w:rsidRPr="002405D3">
        <w:rPr>
          <w:sz w:val="20"/>
          <w:szCs w:val="20"/>
        </w:rPr>
        <w:t>.</w:t>
      </w:r>
      <w:proofErr w:type="gramEnd"/>
      <w:r w:rsidRPr="002405D3">
        <w:rPr>
          <w:sz w:val="20"/>
          <w:szCs w:val="20"/>
        </w:rPr>
        <w:t xml:space="preserve"> Плановые значения на 2024, 2025 годы заложены на уровне плановых значений 2023 года.</w:t>
      </w:r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proofErr w:type="gramStart"/>
      <w:r w:rsidRPr="001F35EA">
        <w:rPr>
          <w:sz w:val="20"/>
          <w:szCs w:val="20"/>
        </w:rPr>
        <w:t xml:space="preserve">Расчет проведен в соответствии с </w:t>
      </w:r>
      <w:r w:rsidR="001F35EA" w:rsidRPr="001F35EA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</w:t>
      </w:r>
      <w:proofErr w:type="gramEnd"/>
      <w:r w:rsidR="001F35EA" w:rsidRPr="001F35EA">
        <w:rPr>
          <w:sz w:val="20"/>
          <w:szCs w:val="20"/>
        </w:rPr>
        <w:t xml:space="preserve">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муниципальной программы </w:t>
      </w:r>
      <w:r w:rsidRPr="002405D3">
        <w:rPr>
          <w:sz w:val="20"/>
          <w:szCs w:val="20"/>
        </w:rPr>
        <w:t>«Энергосбережение и повышение энергетической эффективности в Навлинском районе Брянской области на период 20</w:t>
      </w:r>
      <w:r w:rsidR="008A1B82" w:rsidRPr="002405D3">
        <w:rPr>
          <w:sz w:val="20"/>
          <w:szCs w:val="20"/>
        </w:rPr>
        <w:t>21-2025</w:t>
      </w:r>
      <w:r w:rsidRPr="002405D3">
        <w:rPr>
          <w:sz w:val="20"/>
          <w:szCs w:val="20"/>
        </w:rPr>
        <w:t xml:space="preserve"> годы» </w:t>
      </w:r>
      <w:r w:rsidRPr="002405D3">
        <w:rPr>
          <w:sz w:val="20"/>
          <w:szCs w:val="20"/>
          <w:lang w:eastAsia="ru-RU"/>
        </w:rPr>
        <w:t>были рассчитаны следующие  целевые показатели в области энергосбережения и повышения энергетической эффективности:</w:t>
      </w:r>
    </w:p>
    <w:p w:rsidR="004D71AA" w:rsidRPr="002405D3" w:rsidRDefault="004D71A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1F35EA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Pr="002405D3">
        <w:rPr>
          <w:sz w:val="20"/>
          <w:szCs w:val="20"/>
          <w:lang w:eastAsia="ru-RU"/>
        </w:rPr>
        <w:t>;</w:t>
      </w:r>
    </w:p>
    <w:p w:rsidR="008F20EF" w:rsidRPr="002405D3" w:rsidRDefault="008F20EF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Общие сведения для расчета целевых показателей муниципальной программы «Энергосбережение и повышение энергетической эффективности в Навлинском районе Брянской области на период 20</w:t>
      </w:r>
      <w:r w:rsidR="00EC67FD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-202</w:t>
      </w:r>
      <w:r w:rsidR="00EC67FD" w:rsidRPr="002405D3">
        <w:rPr>
          <w:sz w:val="20"/>
          <w:szCs w:val="20"/>
        </w:rPr>
        <w:t>5</w:t>
      </w:r>
      <w:r w:rsidRPr="002405D3">
        <w:rPr>
          <w:sz w:val="20"/>
          <w:szCs w:val="20"/>
        </w:rPr>
        <w:t xml:space="preserve"> годы»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муниципальной программе «Энергосбережение и повышение энергетической эффективности в Навлинском районе Брянской области на период 20</w:t>
      </w:r>
      <w:r w:rsidR="00EC67FD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-202</w:t>
      </w:r>
      <w:r w:rsidR="00EC67FD" w:rsidRPr="002405D3">
        <w:rPr>
          <w:sz w:val="20"/>
          <w:szCs w:val="20"/>
        </w:rPr>
        <w:t>5</w:t>
      </w:r>
      <w:r w:rsidRPr="002405D3">
        <w:rPr>
          <w:sz w:val="20"/>
          <w:szCs w:val="20"/>
        </w:rPr>
        <w:t xml:space="preserve"> годы».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Расчет целевых показателей муниципальной программы «Энергосбережение и повышение энергетической эффективности в Навлинском районе Брянской области на период 20</w:t>
      </w:r>
      <w:r w:rsidR="00EC67FD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-202</w:t>
      </w:r>
      <w:r w:rsidR="00EC67FD" w:rsidRPr="002405D3">
        <w:rPr>
          <w:sz w:val="20"/>
          <w:szCs w:val="20"/>
        </w:rPr>
        <w:t>5</w:t>
      </w:r>
      <w:r w:rsidRPr="002405D3">
        <w:rPr>
          <w:sz w:val="20"/>
          <w:szCs w:val="20"/>
        </w:rPr>
        <w:t xml:space="preserve"> годы»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муниципальной программе «Энергосбережение и повышение энергетической эффективности в Навлинском районе Брянской области на период 20</w:t>
      </w:r>
      <w:r w:rsidR="00EC67FD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-202</w:t>
      </w:r>
      <w:r w:rsidR="00EC67FD" w:rsidRPr="002405D3">
        <w:rPr>
          <w:sz w:val="20"/>
          <w:szCs w:val="20"/>
        </w:rPr>
        <w:t>5</w:t>
      </w:r>
      <w:r w:rsidRPr="002405D3">
        <w:rPr>
          <w:sz w:val="20"/>
          <w:szCs w:val="20"/>
        </w:rPr>
        <w:t xml:space="preserve"> годы».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1380" w:rsidRDefault="006E1380" w:rsidP="003A3B1F">
      <w:pPr>
        <w:jc w:val="both"/>
        <w:rPr>
          <w:sz w:val="16"/>
          <w:szCs w:val="16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1"/>
        <w:gridCol w:w="991"/>
        <w:gridCol w:w="632"/>
        <w:gridCol w:w="515"/>
        <w:gridCol w:w="425"/>
        <w:gridCol w:w="653"/>
        <w:gridCol w:w="471"/>
        <w:gridCol w:w="353"/>
        <w:gridCol w:w="425"/>
        <w:gridCol w:w="495"/>
        <w:gridCol w:w="471"/>
        <w:gridCol w:w="326"/>
        <w:gridCol w:w="426"/>
        <w:gridCol w:w="426"/>
        <w:gridCol w:w="471"/>
        <w:gridCol w:w="378"/>
        <w:gridCol w:w="426"/>
        <w:gridCol w:w="478"/>
        <w:gridCol w:w="470"/>
        <w:gridCol w:w="436"/>
        <w:gridCol w:w="425"/>
        <w:gridCol w:w="407"/>
        <w:gridCol w:w="471"/>
        <w:gridCol w:w="398"/>
        <w:gridCol w:w="426"/>
        <w:gridCol w:w="510"/>
        <w:gridCol w:w="568"/>
      </w:tblGrid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 xml:space="preserve">к муниципальной программе «Энергосбережение и повышение энергетической эффективности 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в Навлинском районе Брянской области на период 2021-2025 годы»</w:t>
            </w: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347CD8" w:rsidRPr="006E1380" w:rsidTr="003A3B1F"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467A9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347CD8" w:rsidRPr="006E1380" w:rsidTr="003A3B1F">
        <w:trPr>
          <w:trHeight w:val="129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Административные учреждения</w:t>
            </w:r>
          </w:p>
        </w:tc>
      </w:tr>
      <w:tr w:rsidR="00347CD8" w:rsidRPr="006E1380" w:rsidTr="003A3B1F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6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Повышение тепловой защиты зданий, строений, сооружений при капитальном ремонте, утепление зданий,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3.1, 3.5, 3.9, 3.10,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3.11, 3.13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административным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Учреждения культуры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39,00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39,00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Всего по учреждениям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39,00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Образовательные учреждения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322,99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12,99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452,66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149,09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151,79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151,79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309,07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115,07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97,00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97,00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257,15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170,14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43,51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43,51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1 551,87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1 551,87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районному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1 590,87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7CD8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7CD8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246550" w:rsidRPr="006E1380" w:rsidTr="003A3B1F"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1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246550" w:rsidRPr="006E1380" w:rsidTr="003A3B1F">
        <w:trPr>
          <w:trHeight w:val="1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Модернизация уличного освещения (замена светильников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на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энергосберегающие)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5.10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1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жилищном фонде Навлинского муниципального района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246550" w:rsidRPr="006E1380" w:rsidTr="003A3B1F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6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1.6, 4.4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1.7, 4.3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газового топлива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1.10, 4.7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1.8, 1.9, 4.5, 4.6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767,00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2 000,00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фасадов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1.12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1.13, 1.14</w:t>
            </w:r>
          </w:p>
        </w:tc>
      </w:tr>
      <w:tr w:rsidR="00246550" w:rsidRPr="006E1380" w:rsidTr="003A3B1F">
        <w:trPr>
          <w:trHeight w:val="1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энергоэффективного капитального ремонта общего имущества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4.1, 4.2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3 917,00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мероприятиям в жилищном фонде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3 917,00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E93033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 мероприятия,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2 533,50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509,60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423,00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500,90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346,30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62,70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65,80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69,10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72,50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76,20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21,20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23,40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24,60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392,00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42,00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3 873,80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774,80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712,30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785,90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840,80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3 936,80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774,80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775,30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785,90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840,80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1 192,00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144,00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32,00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38,00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41,00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41,00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102,00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118,00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Повышение тепловой защиты зданий, строений,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 xml:space="preserve">МУП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 xml:space="preserve">Собственные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245,00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2 534,00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472,00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2 597,00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472,00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576,00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Регулировка,  гидравлическая  наладка и промывка системы 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62ED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6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725,00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689,00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МУЖКХ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725,00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689,00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12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муниципальным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7 258,80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1 216,80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1 921,00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1 360,30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1 320,90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1 439,80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</w:tbl>
    <w:p w:rsidR="006E1380" w:rsidRPr="009E3ED0" w:rsidRDefault="006E138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7218FA" w:rsidRPr="00D31DD2" w:rsidRDefault="007218FA" w:rsidP="006D0A8C">
      <w:pPr>
        <w:ind w:firstLine="426"/>
        <w:jc w:val="both"/>
        <w:rPr>
          <w:sz w:val="20"/>
          <w:szCs w:val="20"/>
        </w:rPr>
      </w:pPr>
    </w:p>
    <w:p w:rsidR="00D069AD" w:rsidRDefault="00D069AD" w:rsidP="00D31DD2">
      <w:pPr>
        <w:jc w:val="both"/>
        <w:rPr>
          <w:sz w:val="20"/>
          <w:szCs w:val="20"/>
        </w:rPr>
      </w:pPr>
    </w:p>
    <w:p w:rsidR="00D31DD2" w:rsidRPr="00D31DD2" w:rsidRDefault="00D31DD2" w:rsidP="00D31DD2">
      <w:pPr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tbl>
      <w:tblPr>
        <w:tblW w:w="15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992"/>
        <w:gridCol w:w="992"/>
        <w:gridCol w:w="992"/>
        <w:gridCol w:w="993"/>
        <w:gridCol w:w="992"/>
        <w:gridCol w:w="992"/>
        <w:gridCol w:w="992"/>
        <w:gridCol w:w="2656"/>
      </w:tblGrid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1DD2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D31DD2" w:rsidTr="00D31DD2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D31DD2" w:rsidTr="00D31D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в Навлинском муниципальном районе Брянской области на период  2021-2025 годы»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285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Общие сведения для расчета целевых показателей муниципальной программы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D31DD2" w:rsidRPr="00D31DD2" w:rsidTr="00D31DD2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млрд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на уровне 2023 года.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эр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общий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т.у.т.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эр общий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произв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4 492,56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эр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освещение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освещение общее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Расчет на 2021-23гг с учетом снижения потенциала снижения ТЭР по муниципальным </w:t>
            </w:r>
            <w:r>
              <w:rPr>
                <w:color w:val="000000"/>
                <w:sz w:val="14"/>
                <w:szCs w:val="14"/>
                <w:lang w:eastAsia="ru-RU"/>
              </w:rPr>
              <w:t>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23 075,03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8 984,09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987 854,57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</w:t>
            </w:r>
            <w:r>
              <w:rPr>
                <w:color w:val="000000"/>
                <w:sz w:val="14"/>
                <w:szCs w:val="14"/>
                <w:lang w:eastAsia="ru-RU"/>
              </w:rPr>
              <w:t>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505 572,00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26 495 690,10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общая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1 855,71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1 736,69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1 694,46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1 652,23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816 734,00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804 421,22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792 108,44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18 060,48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15 941,48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энергоэффективными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эф.ремонт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 (2020 – 2022 годы) планом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жители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140295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5 066,29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потери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23 081,15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23 034,36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отуск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транспортировка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1 203 142,78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1 202 416,18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1 201 689,57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общий очистка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общий транспортировка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324 963,00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324 766,75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324 570,50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1 188 417,00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1 187 699,29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1 186 981,58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47 642,21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47 613,42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общ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общее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легк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дт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1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1DD2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31DD2">
              <w:rPr>
                <w:color w:val="000000"/>
                <w:sz w:val="16"/>
                <w:szCs w:val="16"/>
                <w:lang w:eastAsia="ru-RU"/>
              </w:rPr>
              <w:t>вида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Наименование производителя продукции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1-й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2-й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3-й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D31DD2" w:rsidRDefault="00D31DD2" w:rsidP="003B5CDA">
      <w:pPr>
        <w:jc w:val="both"/>
        <w:rPr>
          <w:sz w:val="20"/>
          <w:szCs w:val="20"/>
        </w:rPr>
      </w:pPr>
    </w:p>
    <w:p w:rsidR="004D71AA" w:rsidRPr="00D31DD2" w:rsidRDefault="004D71AA" w:rsidP="003B5CDA">
      <w:pPr>
        <w:jc w:val="both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843"/>
        <w:gridCol w:w="958"/>
        <w:gridCol w:w="656"/>
        <w:gridCol w:w="656"/>
        <w:gridCol w:w="656"/>
        <w:gridCol w:w="656"/>
        <w:gridCol w:w="656"/>
        <w:gridCol w:w="656"/>
        <w:gridCol w:w="2335"/>
      </w:tblGrid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1DD2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в Навлинском муниципальном районе Брянской области на период  2021-2025 годы»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Расчет целевых показателей муниципальной программы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Пояснения к расчету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D31DD2" w:rsidRPr="00D31DD2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тэ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тэ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38,93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51,18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29,29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газ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газ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95,59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96,59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тэ/(К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69,88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</w:t>
            </w:r>
            <w:r w:rsidRPr="00D31DD2">
              <w:rPr>
                <w:sz w:val="16"/>
                <w:szCs w:val="16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1.10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газ/(К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97,42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 помещения прибор тэ/(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Кпомещения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38,36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54,83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газ/(К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71,85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77,92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88,27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газа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 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МВт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эр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виэ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эр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виэ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/О эр общий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произв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16,41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19,42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18,80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3,44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3,38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3,32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У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989,81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975,02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960,23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бензина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25,71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25,33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24,94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дт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14,90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14,67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14,45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мазута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дров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угля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26,00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23,89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17,46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3.13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класс/П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эф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емонт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эф.ремонт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краткосрочным (2020 – 2022 годы) планом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D31DD2" w:rsidRPr="00D31DD2" w:rsidTr="00D31DD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эр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кг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</w:t>
            </w:r>
            <w:r w:rsidRPr="00D31DD2">
              <w:rPr>
                <w:sz w:val="16"/>
                <w:szCs w:val="16"/>
                <w:lang w:eastAsia="ru-RU"/>
              </w:rPr>
              <w:br/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49,47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45,64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42,73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D31DD2">
              <w:rPr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 на уровне 2023 года.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1вп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1вп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</w:t>
            </w:r>
            <w:r w:rsidRPr="00D31DD2">
              <w:rPr>
                <w:sz w:val="16"/>
                <w:szCs w:val="16"/>
                <w:lang w:eastAsia="ru-RU"/>
              </w:rPr>
              <w:lastRenderedPageBreak/>
              <w:t>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Э промышленность эр 2вп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2вп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5.4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3вп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3вп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млн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кВт · 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 кот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(ОП кот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потери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потери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объем общий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потери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потери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освещение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(К освещение эф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(К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общий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/О общий очистка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/О общий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 в транспортном комплексе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общ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тс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6.2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тс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общее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легк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общ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37" w:rsidRDefault="005E7137">
      <w:r>
        <w:separator/>
      </w:r>
    </w:p>
  </w:endnote>
  <w:endnote w:type="continuationSeparator" w:id="0">
    <w:p w:rsidR="005E7137" w:rsidRDefault="005E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AA" w:rsidRDefault="004D71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AA" w:rsidRDefault="004D71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AA" w:rsidRDefault="004D71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37" w:rsidRDefault="005E7137">
      <w:r>
        <w:separator/>
      </w:r>
    </w:p>
  </w:footnote>
  <w:footnote w:type="continuationSeparator" w:id="0">
    <w:p w:rsidR="005E7137" w:rsidRDefault="005E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AA" w:rsidRDefault="004D71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AA" w:rsidRDefault="004D71AA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6BF90" wp14:editId="45DFDF9D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1AA" w:rsidRDefault="004D71AA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A469D" w:rsidRDefault="002A469D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AA" w:rsidRDefault="004D71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88D"/>
    <w:rsid w:val="00024667"/>
    <w:rsid w:val="0003084C"/>
    <w:rsid w:val="00034DAC"/>
    <w:rsid w:val="000418BF"/>
    <w:rsid w:val="00064BDF"/>
    <w:rsid w:val="0006636A"/>
    <w:rsid w:val="00072464"/>
    <w:rsid w:val="000B777A"/>
    <w:rsid w:val="000E2CDB"/>
    <w:rsid w:val="000E31F2"/>
    <w:rsid w:val="000E67FA"/>
    <w:rsid w:val="000F0654"/>
    <w:rsid w:val="0010087C"/>
    <w:rsid w:val="0011599E"/>
    <w:rsid w:val="00117A56"/>
    <w:rsid w:val="001251FC"/>
    <w:rsid w:val="00133161"/>
    <w:rsid w:val="00136A82"/>
    <w:rsid w:val="00140295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100B3"/>
    <w:rsid w:val="0021078B"/>
    <w:rsid w:val="00220A91"/>
    <w:rsid w:val="00233F72"/>
    <w:rsid w:val="002405D3"/>
    <w:rsid w:val="00246550"/>
    <w:rsid w:val="00253A30"/>
    <w:rsid w:val="00263259"/>
    <w:rsid w:val="0026529B"/>
    <w:rsid w:val="00287EDB"/>
    <w:rsid w:val="002A469D"/>
    <w:rsid w:val="002C0F01"/>
    <w:rsid w:val="002C2D81"/>
    <w:rsid w:val="002C6B0B"/>
    <w:rsid w:val="002E0822"/>
    <w:rsid w:val="002E0B34"/>
    <w:rsid w:val="00303692"/>
    <w:rsid w:val="00304BEF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C5B5E"/>
    <w:rsid w:val="003D1529"/>
    <w:rsid w:val="003D6246"/>
    <w:rsid w:val="004066A7"/>
    <w:rsid w:val="004201C8"/>
    <w:rsid w:val="0043569D"/>
    <w:rsid w:val="00447CE8"/>
    <w:rsid w:val="0049354D"/>
    <w:rsid w:val="004A3CC3"/>
    <w:rsid w:val="004A6A32"/>
    <w:rsid w:val="004C23FA"/>
    <w:rsid w:val="004C297E"/>
    <w:rsid w:val="004D2F20"/>
    <w:rsid w:val="004D6533"/>
    <w:rsid w:val="004D71AA"/>
    <w:rsid w:val="004F3270"/>
    <w:rsid w:val="00513426"/>
    <w:rsid w:val="00513AA3"/>
    <w:rsid w:val="005256EA"/>
    <w:rsid w:val="005342F9"/>
    <w:rsid w:val="00535E60"/>
    <w:rsid w:val="00536AC9"/>
    <w:rsid w:val="00545AFE"/>
    <w:rsid w:val="00560FF3"/>
    <w:rsid w:val="00564433"/>
    <w:rsid w:val="00580EE1"/>
    <w:rsid w:val="005971B2"/>
    <w:rsid w:val="005A6048"/>
    <w:rsid w:val="005D37DF"/>
    <w:rsid w:val="005D3FBE"/>
    <w:rsid w:val="005E2EB3"/>
    <w:rsid w:val="005E7137"/>
    <w:rsid w:val="0060003C"/>
    <w:rsid w:val="00600874"/>
    <w:rsid w:val="0060638C"/>
    <w:rsid w:val="00607FFD"/>
    <w:rsid w:val="00610B18"/>
    <w:rsid w:val="006278AB"/>
    <w:rsid w:val="006355E2"/>
    <w:rsid w:val="00642B26"/>
    <w:rsid w:val="00644876"/>
    <w:rsid w:val="00644AA7"/>
    <w:rsid w:val="006467A9"/>
    <w:rsid w:val="00646CC3"/>
    <w:rsid w:val="00674713"/>
    <w:rsid w:val="0067793C"/>
    <w:rsid w:val="00677BAE"/>
    <w:rsid w:val="00687FA5"/>
    <w:rsid w:val="006B4746"/>
    <w:rsid w:val="006D0A8C"/>
    <w:rsid w:val="006E0923"/>
    <w:rsid w:val="006E1380"/>
    <w:rsid w:val="006F518D"/>
    <w:rsid w:val="00700788"/>
    <w:rsid w:val="007218FA"/>
    <w:rsid w:val="007263DE"/>
    <w:rsid w:val="00727509"/>
    <w:rsid w:val="007367E2"/>
    <w:rsid w:val="00772584"/>
    <w:rsid w:val="007943CE"/>
    <w:rsid w:val="007973A2"/>
    <w:rsid w:val="007A587D"/>
    <w:rsid w:val="007D0C56"/>
    <w:rsid w:val="007D6186"/>
    <w:rsid w:val="007D64FA"/>
    <w:rsid w:val="007E071F"/>
    <w:rsid w:val="007E5071"/>
    <w:rsid w:val="007F1BA0"/>
    <w:rsid w:val="007F7E76"/>
    <w:rsid w:val="00801C18"/>
    <w:rsid w:val="00806E6F"/>
    <w:rsid w:val="00827A1D"/>
    <w:rsid w:val="00832E8F"/>
    <w:rsid w:val="00833B8E"/>
    <w:rsid w:val="00850A51"/>
    <w:rsid w:val="008533B5"/>
    <w:rsid w:val="008575A3"/>
    <w:rsid w:val="00872299"/>
    <w:rsid w:val="008815BC"/>
    <w:rsid w:val="00884123"/>
    <w:rsid w:val="008A1B82"/>
    <w:rsid w:val="008A6ECE"/>
    <w:rsid w:val="008C3EA7"/>
    <w:rsid w:val="008C7AEE"/>
    <w:rsid w:val="008D096A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D6445"/>
    <w:rsid w:val="009E3ED0"/>
    <w:rsid w:val="009E7487"/>
    <w:rsid w:val="00A005CF"/>
    <w:rsid w:val="00A03542"/>
    <w:rsid w:val="00A255A2"/>
    <w:rsid w:val="00A25C77"/>
    <w:rsid w:val="00A37224"/>
    <w:rsid w:val="00A4214B"/>
    <w:rsid w:val="00A434AA"/>
    <w:rsid w:val="00A71ADD"/>
    <w:rsid w:val="00A72FF7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4E9F"/>
    <w:rsid w:val="00AE50E3"/>
    <w:rsid w:val="00AE6500"/>
    <w:rsid w:val="00AF6E07"/>
    <w:rsid w:val="00B06CC9"/>
    <w:rsid w:val="00B72314"/>
    <w:rsid w:val="00B73874"/>
    <w:rsid w:val="00B771EB"/>
    <w:rsid w:val="00B81708"/>
    <w:rsid w:val="00B82942"/>
    <w:rsid w:val="00BA2A41"/>
    <w:rsid w:val="00BB0B57"/>
    <w:rsid w:val="00BC30F4"/>
    <w:rsid w:val="00BD0577"/>
    <w:rsid w:val="00BE3102"/>
    <w:rsid w:val="00BE63A5"/>
    <w:rsid w:val="00C022CC"/>
    <w:rsid w:val="00C03446"/>
    <w:rsid w:val="00C112A4"/>
    <w:rsid w:val="00C11D56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C166D"/>
    <w:rsid w:val="00CC2D39"/>
    <w:rsid w:val="00CE2A3A"/>
    <w:rsid w:val="00CF2D70"/>
    <w:rsid w:val="00D069AD"/>
    <w:rsid w:val="00D31DD2"/>
    <w:rsid w:val="00D33BC7"/>
    <w:rsid w:val="00D355EF"/>
    <w:rsid w:val="00D50109"/>
    <w:rsid w:val="00D74527"/>
    <w:rsid w:val="00D76426"/>
    <w:rsid w:val="00D87613"/>
    <w:rsid w:val="00D92BD0"/>
    <w:rsid w:val="00D97908"/>
    <w:rsid w:val="00DB2CA2"/>
    <w:rsid w:val="00DB6528"/>
    <w:rsid w:val="00DB7C91"/>
    <w:rsid w:val="00DC5026"/>
    <w:rsid w:val="00DC68C3"/>
    <w:rsid w:val="00DD6C24"/>
    <w:rsid w:val="00DD7E4F"/>
    <w:rsid w:val="00DE2386"/>
    <w:rsid w:val="00DE2481"/>
    <w:rsid w:val="00DE46F2"/>
    <w:rsid w:val="00DF6816"/>
    <w:rsid w:val="00E02E85"/>
    <w:rsid w:val="00E02FF9"/>
    <w:rsid w:val="00E0418E"/>
    <w:rsid w:val="00E17A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F0679"/>
    <w:rsid w:val="00EF79EE"/>
    <w:rsid w:val="00F01862"/>
    <w:rsid w:val="00F02DFE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654A"/>
    <w:rsid w:val="00FC72E5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8F21-9ED8-4758-B245-5AA6751D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44</Pages>
  <Words>22782</Words>
  <Characters>129862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71</cp:revision>
  <cp:lastPrinted>2021-11-10T05:55:00Z</cp:lastPrinted>
  <dcterms:created xsi:type="dcterms:W3CDTF">2018-10-01T05:43:00Z</dcterms:created>
  <dcterms:modified xsi:type="dcterms:W3CDTF">2021-12-03T05:44:00Z</dcterms:modified>
</cp:coreProperties>
</file>